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09D097F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6507F">
        <w:t>95</w:t>
      </w:r>
      <w:r w:rsidRPr="00CE0424">
        <w:tab/>
      </w:r>
      <w:proofErr w:type="spellStart"/>
      <w:r w:rsidRPr="00CE0424">
        <w:rPr>
          <w:sz w:val="32"/>
          <w:szCs w:val="32"/>
        </w:rPr>
        <w:t>Tdoc</w:t>
      </w:r>
      <w:proofErr w:type="spellEnd"/>
      <w:r w:rsidRPr="00CE0424">
        <w:rPr>
          <w:sz w:val="32"/>
          <w:szCs w:val="32"/>
        </w:rPr>
        <w:t xml:space="preserve"> </w:t>
      </w:r>
      <w:r w:rsidR="00D20643" w:rsidRPr="008673BD">
        <w:rPr>
          <w:rFonts w:cs="Arial"/>
          <w:color w:val="000000"/>
          <w:sz w:val="32"/>
          <w:szCs w:val="32"/>
        </w:rPr>
        <w:t>R1-181</w:t>
      </w:r>
      <w:r w:rsidR="00EF6AE4">
        <w:rPr>
          <w:rFonts w:cs="Arial"/>
          <w:color w:val="000000"/>
          <w:sz w:val="32"/>
          <w:szCs w:val="32"/>
        </w:rPr>
        <w:t>3270</w:t>
      </w:r>
    </w:p>
    <w:p w14:paraId="624F3E54" w14:textId="272B137D" w:rsidR="00E90E49" w:rsidRPr="004A2D98" w:rsidRDefault="0026507F" w:rsidP="00357380">
      <w:pPr>
        <w:pStyle w:val="3GPPHeader"/>
        <w:rPr>
          <w:bCs/>
        </w:rPr>
      </w:pPr>
      <w:r>
        <w:rPr>
          <w:bCs/>
        </w:rPr>
        <w:t>Spokane</w:t>
      </w:r>
      <w:r w:rsidR="004A2D98" w:rsidRPr="004A2D98">
        <w:rPr>
          <w:bCs/>
        </w:rPr>
        <w:t xml:space="preserve">, </w:t>
      </w:r>
      <w:r>
        <w:rPr>
          <w:bCs/>
        </w:rPr>
        <w:t>USA</w:t>
      </w:r>
      <w:r w:rsidR="004A2D98" w:rsidRPr="004A2D98">
        <w:rPr>
          <w:bCs/>
        </w:rPr>
        <w:t xml:space="preserve">, </w:t>
      </w:r>
      <w:r>
        <w:rPr>
          <w:bCs/>
        </w:rPr>
        <w:t>Novem</w:t>
      </w:r>
      <w:r w:rsidR="004A2D98" w:rsidRPr="004A2D98">
        <w:rPr>
          <w:bCs/>
        </w:rPr>
        <w:t xml:space="preserve">ber </w:t>
      </w:r>
      <w:r>
        <w:rPr>
          <w:bCs/>
        </w:rPr>
        <w:t>12</w:t>
      </w:r>
      <w:r w:rsidR="004A2D98" w:rsidRPr="004A2D98">
        <w:rPr>
          <w:bCs/>
          <w:vertAlign w:val="superscript"/>
        </w:rPr>
        <w:t>th</w:t>
      </w:r>
      <w:r w:rsidR="004A2D98" w:rsidRPr="004A2D98">
        <w:rPr>
          <w:bCs/>
        </w:rPr>
        <w:t xml:space="preserve"> – 1</w:t>
      </w:r>
      <w:r>
        <w:rPr>
          <w:bCs/>
        </w:rPr>
        <w:t>6</w:t>
      </w:r>
      <w:r w:rsidR="004A2D98" w:rsidRPr="004A2D98">
        <w:rPr>
          <w:bCs/>
          <w:vertAlign w:val="superscript"/>
        </w:rPr>
        <w:t>th</w:t>
      </w:r>
      <w:r w:rsidR="004A2D98" w:rsidRPr="004A2D98">
        <w:rPr>
          <w:bCs/>
        </w:rPr>
        <w:t xml:space="preserve">, 2018 </w:t>
      </w:r>
    </w:p>
    <w:p w14:paraId="1516F60F" w14:textId="688C03E5" w:rsidR="00E90E49" w:rsidRPr="00944626" w:rsidRDefault="00E90E49" w:rsidP="00311702">
      <w:pPr>
        <w:pStyle w:val="3GPPHeader"/>
        <w:rPr>
          <w:sz w:val="22"/>
          <w:szCs w:val="22"/>
          <w:lang w:val="en-US"/>
        </w:rPr>
      </w:pPr>
      <w:r w:rsidRPr="009C7C87">
        <w:rPr>
          <w:sz w:val="22"/>
          <w:szCs w:val="22"/>
          <w:lang w:val="en-US"/>
        </w:rPr>
        <w:t>Agenda Item:</w:t>
      </w:r>
      <w:r w:rsidRPr="009C7C87">
        <w:rPr>
          <w:sz w:val="22"/>
          <w:szCs w:val="22"/>
          <w:lang w:val="en-US"/>
        </w:rPr>
        <w:tab/>
      </w:r>
      <w:r w:rsidR="00B6582B" w:rsidRPr="000B279C">
        <w:rPr>
          <w:sz w:val="22"/>
          <w:szCs w:val="22"/>
          <w:lang w:val="en-US"/>
        </w:rPr>
        <w:t>7.2.8.</w:t>
      </w:r>
      <w:r w:rsidR="009C7C87" w:rsidRPr="000B279C">
        <w:rPr>
          <w:sz w:val="22"/>
          <w:szCs w:val="22"/>
          <w:lang w:val="en-US"/>
        </w:rPr>
        <w:t>1</w:t>
      </w:r>
    </w:p>
    <w:p w14:paraId="2CEA5340" w14:textId="77777777" w:rsidR="00E90E49" w:rsidRPr="00B6582B" w:rsidRDefault="003D3C45" w:rsidP="00F64C2B">
      <w:pPr>
        <w:pStyle w:val="3GPPHeader"/>
        <w:rPr>
          <w:sz w:val="22"/>
          <w:szCs w:val="22"/>
        </w:rPr>
      </w:pPr>
      <w:r>
        <w:rPr>
          <w:sz w:val="22"/>
          <w:szCs w:val="22"/>
        </w:rPr>
        <w:t>Source:</w:t>
      </w:r>
      <w:r w:rsidR="00E90E49" w:rsidRPr="00CE0424">
        <w:rPr>
          <w:sz w:val="22"/>
          <w:szCs w:val="22"/>
        </w:rPr>
        <w:tab/>
      </w:r>
      <w:r w:rsidR="00F64C2B" w:rsidRPr="00B6582B">
        <w:rPr>
          <w:sz w:val="22"/>
          <w:szCs w:val="22"/>
        </w:rPr>
        <w:t>Ericsson</w:t>
      </w:r>
    </w:p>
    <w:p w14:paraId="348881C3" w14:textId="55DEF99A" w:rsidR="00E90E49" w:rsidRPr="00B6582B" w:rsidRDefault="003D3C45" w:rsidP="00311702">
      <w:pPr>
        <w:pStyle w:val="3GPPHeader"/>
        <w:rPr>
          <w:sz w:val="22"/>
          <w:szCs w:val="22"/>
        </w:rPr>
      </w:pPr>
      <w:r w:rsidRPr="00B6582B">
        <w:rPr>
          <w:sz w:val="22"/>
          <w:szCs w:val="22"/>
        </w:rPr>
        <w:t>Title:</w:t>
      </w:r>
      <w:r w:rsidR="00E90E49" w:rsidRPr="00B6582B">
        <w:rPr>
          <w:sz w:val="22"/>
          <w:szCs w:val="22"/>
        </w:rPr>
        <w:tab/>
      </w:r>
      <w:r w:rsidR="00B6582B" w:rsidRPr="00B6582B">
        <w:rPr>
          <w:sz w:val="22"/>
          <w:szCs w:val="22"/>
        </w:rPr>
        <w:t>On CSI enhancements for MU-MIMO support</w:t>
      </w:r>
    </w:p>
    <w:p w14:paraId="7B8EAE83" w14:textId="2CAF53ED" w:rsidR="00E90E49" w:rsidRPr="00CE0424" w:rsidRDefault="00E90E49" w:rsidP="000B279C">
      <w:pPr>
        <w:pStyle w:val="3GPPHeader"/>
      </w:pPr>
      <w:r w:rsidRPr="00B6582B">
        <w:rPr>
          <w:sz w:val="22"/>
          <w:szCs w:val="22"/>
        </w:rPr>
        <w:t>Document for:</w:t>
      </w:r>
      <w:r w:rsidRPr="00B6582B">
        <w:rPr>
          <w:sz w:val="22"/>
          <w:szCs w:val="22"/>
        </w:rPr>
        <w:tab/>
        <w:t>Discussion, Decision</w:t>
      </w:r>
    </w:p>
    <w:p w14:paraId="2BC9CFB4" w14:textId="3428A9C0" w:rsidR="00E90E49" w:rsidRDefault="00230D18" w:rsidP="00CE0424">
      <w:pPr>
        <w:pStyle w:val="Heading1"/>
      </w:pPr>
      <w:r>
        <w:t>1</w:t>
      </w:r>
      <w:r>
        <w:tab/>
      </w:r>
      <w:r w:rsidR="00E90E49" w:rsidRPr="00CE0424">
        <w:t>Introduction</w:t>
      </w:r>
    </w:p>
    <w:p w14:paraId="14F146E3" w14:textId="1BDA38F6" w:rsidR="00120B46" w:rsidRDefault="00120B46" w:rsidP="00120B46">
      <w:pPr>
        <w:rPr>
          <w:lang w:eastAsia="x-none"/>
        </w:rPr>
      </w:pPr>
      <w:bookmarkStart w:id="0" w:name="_Ref178064866"/>
      <w:r>
        <w:rPr>
          <w:lang w:eastAsia="x-none"/>
        </w:rPr>
        <w:t>In RAN1#95, the following agreements where reached regarding Typ</w:t>
      </w:r>
      <w:r w:rsidR="0012074D">
        <w:rPr>
          <w:lang w:eastAsia="x-none"/>
        </w:rPr>
        <w:t>e II CSI enhancements</w:t>
      </w:r>
      <w:r w:rsidR="007227B9">
        <w:rPr>
          <w:lang w:eastAsia="x-none"/>
        </w:rPr>
        <w:t>:</w:t>
      </w:r>
    </w:p>
    <w:p w14:paraId="073924AC" w14:textId="77777777" w:rsidR="00120B46" w:rsidRPr="001659EF" w:rsidRDefault="00120B46" w:rsidP="00120B46">
      <w:pPr>
        <w:pStyle w:val="Style1"/>
        <w:spacing w:after="0" w:line="240" w:lineRule="auto"/>
        <w:ind w:firstLine="0"/>
        <w:rPr>
          <w:highlight w:val="green"/>
          <w:lang w:val="en-US"/>
        </w:rPr>
      </w:pPr>
      <w:r w:rsidRPr="001659EF">
        <w:rPr>
          <w:b/>
          <w:highlight w:val="green"/>
          <w:lang w:val="en-US"/>
        </w:rPr>
        <w:t>Agreement</w:t>
      </w:r>
      <w:r w:rsidRPr="001659EF">
        <w:rPr>
          <w:highlight w:val="green"/>
          <w:lang w:val="en-US"/>
        </w:rPr>
        <w:t xml:space="preserve"> </w:t>
      </w:r>
    </w:p>
    <w:p w14:paraId="3640826C" w14:textId="77777777" w:rsidR="00120B46" w:rsidRPr="001659EF" w:rsidRDefault="00120B46" w:rsidP="00120B46">
      <w:pPr>
        <w:pStyle w:val="Style1"/>
        <w:spacing w:after="0" w:line="240" w:lineRule="auto"/>
        <w:ind w:firstLine="0"/>
        <w:rPr>
          <w:lang w:val="en-US"/>
        </w:rPr>
      </w:pPr>
      <w:r w:rsidRPr="001659EF">
        <w:rPr>
          <w:lang w:val="en-US"/>
        </w:rPr>
        <w:t>On the issue of Type II overhead reduction (rank 1, 2), to further progress, interested companies are to submit evaluation results (especially performance-overhead tradeoff) in RAN1#95 once the evaluation methodology is finalized in RAN1#94B.</w:t>
      </w:r>
    </w:p>
    <w:p w14:paraId="63D83BF4" w14:textId="77777777" w:rsidR="00120B46" w:rsidRPr="001659EF" w:rsidRDefault="00120B46" w:rsidP="00120B46">
      <w:pPr>
        <w:pStyle w:val="Style1"/>
        <w:numPr>
          <w:ilvl w:val="0"/>
          <w:numId w:val="26"/>
        </w:numPr>
        <w:spacing w:after="0" w:line="240" w:lineRule="auto"/>
        <w:rPr>
          <w:lang w:val="en-US"/>
        </w:rPr>
      </w:pPr>
      <w:r w:rsidRPr="001659EF">
        <w:rPr>
          <w:lang w:val="en-US"/>
        </w:rPr>
        <w:t>Focus on proposals based on linear combination codebook as in Rel-15</w:t>
      </w:r>
    </w:p>
    <w:p w14:paraId="7980EDDB" w14:textId="77777777" w:rsidR="00120B46" w:rsidRPr="001659EF" w:rsidRDefault="00120B46" w:rsidP="00120B46">
      <w:pPr>
        <w:pStyle w:val="Style1"/>
        <w:numPr>
          <w:ilvl w:val="0"/>
          <w:numId w:val="26"/>
        </w:numPr>
        <w:spacing w:after="0" w:line="240" w:lineRule="auto"/>
        <w:ind w:left="720" w:hanging="255"/>
        <w:rPr>
          <w:lang w:val="en-US"/>
        </w:rPr>
      </w:pPr>
      <w:r w:rsidRPr="001659EF">
        <w:rPr>
          <w:lang w:val="en-US"/>
        </w:rPr>
        <w:t>Also investigate potential common ground between frequency domain and time domain approaches, e.g. merging these two into one category</w:t>
      </w:r>
    </w:p>
    <w:p w14:paraId="6231F22D" w14:textId="77777777" w:rsidR="00120B46" w:rsidRDefault="00120B46" w:rsidP="00120B46">
      <w:pPr>
        <w:rPr>
          <w:lang w:eastAsia="x-none"/>
        </w:rPr>
      </w:pPr>
    </w:p>
    <w:p w14:paraId="31249FDC" w14:textId="77777777" w:rsidR="00120B46" w:rsidRPr="00D608E1" w:rsidRDefault="00120B46" w:rsidP="00120B46">
      <w:pPr>
        <w:pStyle w:val="Style1"/>
        <w:spacing w:after="0" w:line="240" w:lineRule="auto"/>
        <w:ind w:firstLine="0"/>
        <w:rPr>
          <w:b/>
          <w:highlight w:val="green"/>
          <w:lang w:val="en-US"/>
        </w:rPr>
      </w:pPr>
      <w:r w:rsidRPr="00CD4E8D">
        <w:rPr>
          <w:b/>
          <w:highlight w:val="green"/>
          <w:lang w:val="en-US"/>
        </w:rPr>
        <w:t>Agreement</w:t>
      </w:r>
    </w:p>
    <w:p w14:paraId="651589E5" w14:textId="77777777" w:rsidR="00120B46" w:rsidRPr="00CD4E8D" w:rsidRDefault="00120B46" w:rsidP="00120B46">
      <w:pPr>
        <w:pStyle w:val="Style1"/>
        <w:spacing w:after="0" w:line="240" w:lineRule="auto"/>
        <w:ind w:firstLine="0"/>
        <w:rPr>
          <w:lang w:val="en-US"/>
        </w:rPr>
      </w:pPr>
      <w:r w:rsidRPr="00CD4E8D">
        <w:rPr>
          <w:lang w:val="en-US"/>
        </w:rPr>
        <w:t>The study and, if needed, work on Type II higher rank extension is performed as follows:</w:t>
      </w:r>
    </w:p>
    <w:p w14:paraId="06580145" w14:textId="77777777" w:rsidR="00120B46" w:rsidRPr="00CD4E8D" w:rsidRDefault="00120B46" w:rsidP="00120B46">
      <w:pPr>
        <w:pStyle w:val="Style1"/>
        <w:numPr>
          <w:ilvl w:val="0"/>
          <w:numId w:val="26"/>
        </w:numPr>
        <w:spacing w:after="0" w:line="240" w:lineRule="auto"/>
        <w:ind w:left="720" w:hanging="255"/>
        <w:rPr>
          <w:lang w:val="en-US"/>
        </w:rPr>
      </w:pPr>
      <w:r w:rsidRPr="00CD4E8D">
        <w:rPr>
          <w:lang w:val="en-US"/>
        </w:rPr>
        <w:t xml:space="preserve">Only for rank 3 and 4 by </w:t>
      </w:r>
      <w:proofErr w:type="gramStart"/>
      <w:r w:rsidRPr="00CD4E8D">
        <w:rPr>
          <w:lang w:val="en-US"/>
        </w:rPr>
        <w:t>taking into account</w:t>
      </w:r>
      <w:proofErr w:type="gramEnd"/>
      <w:r w:rsidRPr="00CD4E8D">
        <w:rPr>
          <w:lang w:val="en-US"/>
        </w:rPr>
        <w:t xml:space="preserve"> the outcome of Type II overhead reduction for rank 1-2</w:t>
      </w:r>
    </w:p>
    <w:p w14:paraId="793556D4" w14:textId="6C8AB974" w:rsidR="00120B46" w:rsidRDefault="00120B46" w:rsidP="00120B46">
      <w:pPr>
        <w:pStyle w:val="Style1"/>
        <w:numPr>
          <w:ilvl w:val="0"/>
          <w:numId w:val="26"/>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p w14:paraId="4633E193" w14:textId="77777777" w:rsidR="00E77283" w:rsidRDefault="00E77283" w:rsidP="00E77283">
      <w:pPr>
        <w:pStyle w:val="Style1"/>
        <w:spacing w:after="0" w:line="240" w:lineRule="auto"/>
        <w:ind w:firstLine="0"/>
        <w:rPr>
          <w:lang w:val="en-US"/>
        </w:rPr>
      </w:pPr>
    </w:p>
    <w:p w14:paraId="2B0A2F2D" w14:textId="27E3288F" w:rsidR="00E77283" w:rsidRDefault="00E77283" w:rsidP="00E77283">
      <w:pPr>
        <w:pStyle w:val="Style1"/>
        <w:spacing w:after="0" w:line="240" w:lineRule="auto"/>
        <w:ind w:firstLine="0"/>
        <w:rPr>
          <w:lang w:val="en-US"/>
        </w:rPr>
      </w:pPr>
      <w:r>
        <w:rPr>
          <w:lang w:val="en-US"/>
        </w:rPr>
        <w:t xml:space="preserve">In this contribution, we </w:t>
      </w:r>
      <w:r w:rsidR="00D87376">
        <w:rPr>
          <w:lang w:val="en-US"/>
        </w:rPr>
        <w:t xml:space="preserve">discuss Type II overhead </w:t>
      </w:r>
      <w:r w:rsidR="000C1993">
        <w:rPr>
          <w:lang w:val="en-US"/>
        </w:rPr>
        <w:t>reduction</w:t>
      </w:r>
      <w:r w:rsidR="00D87376">
        <w:rPr>
          <w:lang w:val="en-US"/>
        </w:rPr>
        <w:t xml:space="preserve"> </w:t>
      </w:r>
      <w:r w:rsidR="000C1993">
        <w:rPr>
          <w:lang w:val="en-US"/>
        </w:rPr>
        <w:t>mechanisms</w:t>
      </w:r>
      <w:r w:rsidR="00F0222F">
        <w:rPr>
          <w:lang w:val="en-US"/>
        </w:rPr>
        <w:t xml:space="preserve"> and present a </w:t>
      </w:r>
      <w:r w:rsidR="005176AB">
        <w:rPr>
          <w:lang w:val="en-US"/>
        </w:rPr>
        <w:t>proposal for an enhanced codebook.</w:t>
      </w:r>
    </w:p>
    <w:p w14:paraId="725E7DC2" w14:textId="77777777" w:rsidR="007C1875" w:rsidRPr="00CD4E8D" w:rsidRDefault="007C1875" w:rsidP="007C1875">
      <w:pPr>
        <w:pStyle w:val="Style1"/>
        <w:spacing w:after="0" w:line="240" w:lineRule="auto"/>
        <w:rPr>
          <w:lang w:val="en-US"/>
        </w:rPr>
      </w:pPr>
    </w:p>
    <w:bookmarkEnd w:id="0"/>
    <w:p w14:paraId="2BB2C836" w14:textId="6FDC2F03" w:rsidR="00C473A5" w:rsidRDefault="00230D18" w:rsidP="007C1875">
      <w:pPr>
        <w:pStyle w:val="Heading1"/>
      </w:pPr>
      <w:r>
        <w:t>2</w:t>
      </w:r>
      <w:r>
        <w:tab/>
      </w:r>
      <w:r w:rsidR="00690A3E">
        <w:t xml:space="preserve">On </w:t>
      </w:r>
      <w:r w:rsidR="00D87376">
        <w:t xml:space="preserve">importance of </w:t>
      </w:r>
      <w:r w:rsidR="00690A3E">
        <w:t xml:space="preserve">subband size and </w:t>
      </w:r>
      <w:r w:rsidR="005176AB">
        <w:t>evaluation bandwidth</w:t>
      </w:r>
    </w:p>
    <w:p w14:paraId="24DE0DCA" w14:textId="58AB9443" w:rsidR="009C7C87" w:rsidRDefault="00A741A1" w:rsidP="00F46C55">
      <w:r>
        <w:t xml:space="preserve">System-level evaluations for codebook design have been performed in RAN1 for a long time and indeed both </w:t>
      </w:r>
      <w:r w:rsidR="008D3424">
        <w:t xml:space="preserve">the </w:t>
      </w:r>
      <w:r>
        <w:t xml:space="preserve">NR Rel-15 Type II codebook as well as </w:t>
      </w:r>
      <w:r w:rsidR="008D3424">
        <w:t xml:space="preserve">the </w:t>
      </w:r>
      <w:r>
        <w:t xml:space="preserve">LTE Rel-14 Advanced CSI codebooks were determined following extensive simulation campaigns where the resulting system-level MU-MIMO performance </w:t>
      </w:r>
      <w:r w:rsidR="00C00B89">
        <w:t xml:space="preserve">of different codebook candidates was evaluated. However, most </w:t>
      </w:r>
      <w:r w:rsidR="008D3424">
        <w:t xml:space="preserve">of these </w:t>
      </w:r>
      <w:r w:rsidR="00C00B89">
        <w:t>evaluations did not consider the relatively larg</w:t>
      </w:r>
      <w:r w:rsidR="008D3424">
        <w:t>e</w:t>
      </w:r>
      <w:r w:rsidR="00C00B89">
        <w:t xml:space="preserve"> bandwidths featured in NR with up to 100MHz, but instead focused on the LTE-like smaller BW allocations of 10-20 </w:t>
      </w:r>
      <w:proofErr w:type="spellStart"/>
      <w:r w:rsidR="00C00B89">
        <w:t>MHz.</w:t>
      </w:r>
      <w:proofErr w:type="spellEnd"/>
      <w:r w:rsidR="00C00B89">
        <w:t xml:space="preserve"> </w:t>
      </w:r>
      <w:r w:rsidR="009C7C87">
        <w:t xml:space="preserve">This can skew the results quite a bit, since the overhead/performance trade-off can be substantially different depending on the system bandwidth. </w:t>
      </w:r>
    </w:p>
    <w:p w14:paraId="01BB22B5" w14:textId="65A1D4B7" w:rsidR="00F46C55" w:rsidRDefault="009C7C87" w:rsidP="00F46C55">
      <w:r>
        <w:t xml:space="preserve">Particularly, the Type II CSI feedback performance and overhead is sensitive to the subband size. It is common knowledge </w:t>
      </w:r>
      <w:r w:rsidR="00533F98">
        <w:t xml:space="preserve">that the optimal Type II CSI beam coefficients can vary quite rapidly over frequency, and hence the more averaging </w:t>
      </w:r>
      <w:r w:rsidR="008D3424">
        <w:t xml:space="preserve">that </w:t>
      </w:r>
      <w:r w:rsidR="00533F98">
        <w:t xml:space="preserve">is performed (i.e. the larger the subband size), the more reduction in MU-MIMO performance can be expected. Bear in mind that operation with Type II CSI is typically compared against reciprocity-based operation where subcarrier-level CSI can be obtained via SRS sounding. For a 10 MHz BW using 15kHz SCS, </w:t>
      </w:r>
      <w:r w:rsidR="008D3424">
        <w:t xml:space="preserve">which is </w:t>
      </w:r>
      <w:r w:rsidR="00533F98">
        <w:t xml:space="preserve">a typical LTE configuration, NR features eithers 7 subbands á 1.44 MHz or 13 subbands á 720 kHz. However, for 100 MHz BW using 30kHz SCS, a typical NR configuration, NR features either 9 subbands á 11.52 MHz (!) or </w:t>
      </w:r>
      <w:r w:rsidR="00F546CF">
        <w:t xml:space="preserve">18 subband á 5,76 </w:t>
      </w:r>
      <w:proofErr w:type="spellStart"/>
      <w:r w:rsidR="00F546CF">
        <w:t>MHz.</w:t>
      </w:r>
      <w:proofErr w:type="spellEnd"/>
    </w:p>
    <w:p w14:paraId="160AEE10" w14:textId="6D046CF7" w:rsidR="00C00B89" w:rsidRDefault="00C00B89" w:rsidP="00C00B89">
      <w:pPr>
        <w:pStyle w:val="Observation"/>
      </w:pPr>
      <w:bookmarkStart w:id="1" w:name="_Toc528944810"/>
      <w:r>
        <w:t>For 100 MHz NR carrier, the subband bandwidth is either 5,76 MHz (16 PRBs) or 11.52 MHz (32 PRBs)</w:t>
      </w:r>
      <w:bookmarkEnd w:id="1"/>
    </w:p>
    <w:p w14:paraId="5DD528B4" w14:textId="0D7EE600" w:rsidR="005176AB" w:rsidRDefault="005176AB" w:rsidP="005176AB">
      <w:r>
        <w:t>Such large subband size</w:t>
      </w:r>
      <w:r w:rsidR="00B429CF">
        <w:t xml:space="preserve">s </w:t>
      </w:r>
      <w:r w:rsidR="00525217">
        <w:t>could result</w:t>
      </w:r>
      <w:r w:rsidR="00B429CF">
        <w:t xml:space="preserve"> in rather poor CSI quality. </w:t>
      </w:r>
    </w:p>
    <w:p w14:paraId="59A16527" w14:textId="51AC347A" w:rsidR="00F546CF" w:rsidRDefault="009C7C87" w:rsidP="005C408D">
      <w:r>
        <w:lastRenderedPageBreak/>
        <w:t xml:space="preserve">While it is acknowledged that higher simulation bandwidth </w:t>
      </w:r>
      <w:r w:rsidR="00F546CF">
        <w:t>may result</w:t>
      </w:r>
      <w:r>
        <w:t xml:space="preserve"> in more complex and time-consuming evaluations, we believe that it is necessary to</w:t>
      </w:r>
      <w:r w:rsidR="00F546CF">
        <w:t xml:space="preserve"> evaluate the Type II CSI at </w:t>
      </w:r>
      <w:r w:rsidR="005E168C">
        <w:t xml:space="preserve">representative </w:t>
      </w:r>
      <w:r w:rsidR="00F546CF">
        <w:t xml:space="preserve">NR bandwidths, and not </w:t>
      </w:r>
      <w:r w:rsidR="005E168C">
        <w:t xml:space="preserve">only </w:t>
      </w:r>
      <w:r w:rsidR="00F546CF">
        <w:t xml:space="preserve">the typical LTE bandwidths. </w:t>
      </w:r>
      <w:r w:rsidR="00961ADC">
        <w:t xml:space="preserve">This was also </w:t>
      </w:r>
      <w:r w:rsidR="007A557E">
        <w:t>acknowledged</w:t>
      </w:r>
      <w:r w:rsidR="00961ADC">
        <w:t xml:space="preserve"> by RAN1 in [2], where </w:t>
      </w:r>
      <w:r w:rsidR="00CD48BA">
        <w:t>it was agreed that larger system band</w:t>
      </w:r>
      <w:r w:rsidR="00D92403">
        <w:t>widths than 10MHz can be evaluated</w:t>
      </w:r>
      <w:r w:rsidR="00843972">
        <w:t xml:space="preserve"> and/or emulated</w:t>
      </w:r>
      <w:r w:rsidR="007A557E">
        <w:t xml:space="preserve"> (</w:t>
      </w:r>
      <w:r w:rsidR="00843972">
        <w:t xml:space="preserve">by for instance </w:t>
      </w:r>
      <w:r w:rsidR="00C90DAC">
        <w:t xml:space="preserve">considering </w:t>
      </w:r>
      <w:r w:rsidR="00843972">
        <w:t xml:space="preserve">subband sizes </w:t>
      </w:r>
      <w:r w:rsidR="00C90DAC">
        <w:t xml:space="preserve">corresponding to 100MHz BW even though a smaller bandwidth is evaluated for complexity reasons). </w:t>
      </w:r>
      <w:r w:rsidR="005C408D">
        <w:t>As a reasonable compromise to consider both simulation complexity and accuracy, we propose that 40 MHz BW can be evaluated, but using the subband size corresponding to 100MHz BW.</w:t>
      </w:r>
    </w:p>
    <w:p w14:paraId="41859D86" w14:textId="30E6786F" w:rsidR="00F46C55" w:rsidRDefault="00FF05B5" w:rsidP="00FF05B5">
      <w:pPr>
        <w:pStyle w:val="Heading1"/>
      </w:pPr>
      <w:r>
        <w:t>3</w:t>
      </w:r>
      <w:r w:rsidR="00F46C55">
        <w:tab/>
        <w:t xml:space="preserve">Subband-based vs. </w:t>
      </w:r>
      <w:r w:rsidR="00037BB9">
        <w:t xml:space="preserve">frequency </w:t>
      </w:r>
      <w:r w:rsidR="00F46C55">
        <w:t xml:space="preserve">parametrization-based </w:t>
      </w:r>
      <w:r w:rsidR="00241626">
        <w:t xml:space="preserve">CSI </w:t>
      </w:r>
      <w:r w:rsidR="00F46C55">
        <w:t>feedback</w:t>
      </w:r>
    </w:p>
    <w:p w14:paraId="7A4E3BB3" w14:textId="554E115F" w:rsidR="0080541D" w:rsidRDefault="00037BB9" w:rsidP="00037BB9">
      <w:r>
        <w:t xml:space="preserve">In both LTE and NR, CSI feedback can be either wideband, where one CSI is reported for the entire channel bandwidth, or frequency-selective, where one CSI is reported for each subband, which is defined as </w:t>
      </w:r>
      <w:proofErr w:type="gramStart"/>
      <w:r>
        <w:t>a number of</w:t>
      </w:r>
      <w:proofErr w:type="gramEnd"/>
      <w:r>
        <w:t xml:space="preserve"> contiguous resource blocks ranging between 4-32 PRBS depending on </w:t>
      </w:r>
      <w:r w:rsidR="00FE5D80">
        <w:t xml:space="preserve">the </w:t>
      </w:r>
      <w:r>
        <w:t xml:space="preserve">BWP </w:t>
      </w:r>
      <w:r w:rsidR="00FE5D80">
        <w:t>size</w:t>
      </w:r>
      <w:r>
        <w:t xml:space="preserve">. </w:t>
      </w:r>
      <w:r w:rsidR="00A84A44">
        <w:t>A UE calculating CSI for a certain subband would typically average the CSI-RS channel estimates of the PRBs within the subband to create a</w:t>
      </w:r>
      <w:r w:rsidR="002F5E1A">
        <w:t xml:space="preserve"> subband</w:t>
      </w:r>
      <w:r w:rsidR="00EE1D34">
        <w:t>-</w:t>
      </w:r>
      <w:r w:rsidR="00A84A44">
        <w:t xml:space="preserve">averaged </w:t>
      </w:r>
      <w:r w:rsidR="00EE1D34">
        <w:t>channel estimate</w:t>
      </w:r>
      <w:r w:rsidR="001F73DF">
        <w:t xml:space="preserve"> and determine the subband PMI and CQI based on this averaged channel. </w:t>
      </w:r>
      <w:r w:rsidR="0080541D">
        <w:t>By doing this averaging, channel information is lost.</w:t>
      </w:r>
    </w:p>
    <w:p w14:paraId="0BD1BEE1" w14:textId="495AC358" w:rsidR="0080541D" w:rsidRDefault="0080541D" w:rsidP="0080541D">
      <w:pPr>
        <w:pStyle w:val="Observation"/>
      </w:pPr>
      <w:bookmarkStart w:id="2" w:name="_Toc528944811"/>
      <w:r>
        <w:t>In legacy subband-based CSI reporting mechanism, even though the UE can observe the channel state on an RB-level granularity, it can only convey the CSI on a subband-level granularity,</w:t>
      </w:r>
      <w:bookmarkEnd w:id="2"/>
      <w:r>
        <w:t xml:space="preserve"> </w:t>
      </w:r>
    </w:p>
    <w:p w14:paraId="59F3F7AE" w14:textId="007984CC" w:rsidR="00037BB9" w:rsidRDefault="001F73DF" w:rsidP="00037BB9">
      <w:r>
        <w:t>W</w:t>
      </w:r>
      <w:r w:rsidR="00FE5D80">
        <w:t>hile such a</w:t>
      </w:r>
      <w:r w:rsidR="00FE1B7A">
        <w:t xml:space="preserve"> subband-based</w:t>
      </w:r>
      <w:r w:rsidR="00FE5D80">
        <w:t xml:space="preserve"> approach might have been preferable in legacy systems characterized by small bandwidths and low CSI resolution</w:t>
      </w:r>
      <w:r w:rsidR="00FE1B7A">
        <w:t>, it is not certain that it is suitable for Type II CSI in larger bandwidths</w:t>
      </w:r>
      <w:r w:rsidR="008A643F">
        <w:t xml:space="preserve">, for </w:t>
      </w:r>
      <w:r w:rsidR="00763AE0">
        <w:t xml:space="preserve">instance due to the following </w:t>
      </w:r>
      <w:r w:rsidR="00944626">
        <w:t>observation</w:t>
      </w:r>
      <w:r w:rsidR="00763AE0">
        <w:t>.</w:t>
      </w:r>
    </w:p>
    <w:p w14:paraId="46BFB1D7" w14:textId="4FFEF872" w:rsidR="0080541D" w:rsidRDefault="00763AE0" w:rsidP="002A540C">
      <w:pPr>
        <w:pStyle w:val="Observation"/>
      </w:pPr>
      <w:bookmarkStart w:id="3" w:name="_Toc528944812"/>
      <w:r w:rsidRPr="005C408D">
        <w:rPr>
          <w:lang w:val="en-US"/>
        </w:rPr>
        <w:t>Since different beam basis vectors may correspond to channel multi-path components with different delays, the relative phase between beam phase coefficients may change rapidly over frequency. If beam phase coefficients are averaged over large subbands, the phase change is averaged out and poor CSI resolution is attained.</w:t>
      </w:r>
      <w:bookmarkEnd w:id="3"/>
    </w:p>
    <w:p w14:paraId="3F256A05" w14:textId="6AEF7CFF" w:rsidR="008A643F" w:rsidRDefault="00763AE0" w:rsidP="008A643F">
      <w:r>
        <w:t>It is thus possible to achieve higher CSI resolution</w:t>
      </w:r>
      <w:r w:rsidR="0080541D">
        <w:t xml:space="preserve"> </w:t>
      </w:r>
      <w:r>
        <w:t>if the precoder coefficients for the resource blocks are jointly compressed</w:t>
      </w:r>
      <w:r w:rsidR="0080541D">
        <w:t xml:space="preserve"> and quantized, that is, how the precoder coefficients change over the resource blocks is parametrized using a smaller set of coefficients. If the number of coefficients required to sufficiently reflect the precoder change over frequency is smaller than the number of subbands, then an overhead reduction is also achieved. Thus, frequency-parametrization based approach has potential to both reduce overhead and improve CSI accuracy.</w:t>
      </w:r>
    </w:p>
    <w:p w14:paraId="056E103B" w14:textId="009B2087" w:rsidR="0080541D" w:rsidRDefault="0080541D" w:rsidP="0080541D">
      <w:pPr>
        <w:pStyle w:val="Observation"/>
      </w:pPr>
      <w:bookmarkStart w:id="4" w:name="_Toc528944813"/>
      <w:r>
        <w:t>Frequency-parametrization based coefficient quantization can achieve RB-level CSI granularity</w:t>
      </w:r>
      <w:bookmarkEnd w:id="4"/>
      <w:r>
        <w:t xml:space="preserve"> </w:t>
      </w:r>
    </w:p>
    <w:p w14:paraId="0C3F336B" w14:textId="34C6FE5F" w:rsidR="00241626" w:rsidRDefault="0080541D" w:rsidP="0080541D">
      <w:r>
        <w:t xml:space="preserve">An illustration of the difference between subband-based CSI feedback and frequency-parametrization based CSI feedback is given in </w:t>
      </w:r>
      <w:r>
        <w:fldChar w:fldCharType="begin"/>
      </w:r>
      <w:r>
        <w:instrText xml:space="preserve"> REF _Ref525827569 \h </w:instrText>
      </w:r>
      <w:r>
        <w:fldChar w:fldCharType="separate"/>
      </w:r>
      <w:r w:rsidR="000B279C">
        <w:t xml:space="preserve">Figure </w:t>
      </w:r>
      <w:r w:rsidR="000B279C">
        <w:rPr>
          <w:noProof/>
        </w:rPr>
        <w:t>1</w:t>
      </w:r>
      <w:r>
        <w:fldChar w:fldCharType="end"/>
      </w:r>
      <w:r>
        <w:t xml:space="preserve"> below. </w:t>
      </w:r>
    </w:p>
    <w:p w14:paraId="3BCA83F9" w14:textId="0A6EF89D" w:rsidR="008F735C" w:rsidRDefault="00241626" w:rsidP="0080541D">
      <w:r>
        <w:rPr>
          <w:noProof/>
        </w:rPr>
        <w:drawing>
          <wp:inline distT="0" distB="0" distL="0" distR="0" wp14:anchorId="585DE2E0" wp14:editId="1A0D4724">
            <wp:extent cx="6114415" cy="2506980"/>
            <wp:effectExtent l="0" t="0" r="63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4415" cy="2506980"/>
                    </a:xfrm>
                    <a:prstGeom prst="rect">
                      <a:avLst/>
                    </a:prstGeom>
                    <a:noFill/>
                    <a:ln>
                      <a:noFill/>
                    </a:ln>
                  </pic:spPr>
                </pic:pic>
              </a:graphicData>
            </a:graphic>
          </wp:inline>
        </w:drawing>
      </w:r>
    </w:p>
    <w:p w14:paraId="672B8EC2" w14:textId="45CF6954" w:rsidR="008F735C" w:rsidRDefault="008F735C" w:rsidP="008F735C">
      <w:pPr>
        <w:pStyle w:val="Caption"/>
      </w:pPr>
      <w:bookmarkStart w:id="5" w:name="_Ref525827569"/>
      <w:r>
        <w:lastRenderedPageBreak/>
        <w:t xml:space="preserve">Figure </w:t>
      </w:r>
      <w:r w:rsidR="00D902CC">
        <w:rPr>
          <w:noProof/>
        </w:rPr>
        <w:fldChar w:fldCharType="begin"/>
      </w:r>
      <w:r w:rsidR="00D902CC">
        <w:rPr>
          <w:noProof/>
        </w:rPr>
        <w:instrText xml:space="preserve"> SEQ Figure \* ARABIC </w:instrText>
      </w:r>
      <w:r w:rsidR="00D902CC">
        <w:rPr>
          <w:noProof/>
        </w:rPr>
        <w:fldChar w:fldCharType="separate"/>
      </w:r>
      <w:r w:rsidR="00560A81">
        <w:rPr>
          <w:noProof/>
        </w:rPr>
        <w:t>1</w:t>
      </w:r>
      <w:r w:rsidR="00D902CC">
        <w:rPr>
          <w:noProof/>
        </w:rPr>
        <w:fldChar w:fldCharType="end"/>
      </w:r>
      <w:bookmarkEnd w:id="5"/>
      <w:r>
        <w:t>: Illustration of difference between subband-based and frequency-parametrization based feedback</w:t>
      </w:r>
    </w:p>
    <w:p w14:paraId="3F932137" w14:textId="0A6E059D" w:rsidR="00763AE0" w:rsidRDefault="00763AE0" w:rsidP="00763AE0">
      <w:pPr>
        <w:rPr>
          <w:lang w:eastAsia="en-GB"/>
        </w:rPr>
      </w:pPr>
    </w:p>
    <w:p w14:paraId="39DA0837" w14:textId="038E0F93" w:rsidR="00763AE0" w:rsidRDefault="00763AE0" w:rsidP="00763AE0">
      <w:pPr>
        <w:pStyle w:val="Proposal"/>
      </w:pPr>
      <w:bookmarkStart w:id="6" w:name="_Toc528944804"/>
      <w:r>
        <w:t xml:space="preserve">Consider frequency-parametrization based feedback as </w:t>
      </w:r>
      <w:r w:rsidR="00CC04E3">
        <w:t xml:space="preserve">a </w:t>
      </w:r>
      <w:r>
        <w:t>candidate scheme for Type II overhead reduction</w:t>
      </w:r>
      <w:bookmarkEnd w:id="6"/>
    </w:p>
    <w:p w14:paraId="771EF34B" w14:textId="2255ADDB" w:rsidR="000707B9" w:rsidRDefault="009531BF" w:rsidP="009531BF">
      <w:r>
        <w:t>With a frequency-parametrization based approach, the</w:t>
      </w:r>
      <w:r w:rsidR="00E71F22">
        <w:t xml:space="preserve"> precoder feedback fr</w:t>
      </w:r>
      <w:r w:rsidR="00B06C0D">
        <w:t>om the UE could indicate a preferred precoder to use per PRB. However</w:t>
      </w:r>
      <w:r w:rsidR="009404C0">
        <w:t>,</w:t>
      </w:r>
      <w:r w:rsidR="00B06C0D">
        <w:t xml:space="preserve"> the gNB may be con</w:t>
      </w:r>
      <w:r w:rsidR="00317AB6">
        <w:t>strained by the PRG size to apply the precoding of PDSCH</w:t>
      </w:r>
      <w:r w:rsidR="00F14329">
        <w:t xml:space="preserve"> with a coarser granularity than one PRB (if the PRG size is set to 2 or 4 PRBs). Hence, in this case, it </w:t>
      </w:r>
      <w:r w:rsidR="009404C0">
        <w:t xml:space="preserve">may be unnecessary for the UE to </w:t>
      </w:r>
      <w:proofErr w:type="spellStart"/>
      <w:r w:rsidR="009404C0">
        <w:t>feed back</w:t>
      </w:r>
      <w:proofErr w:type="spellEnd"/>
      <w:r w:rsidR="009404C0">
        <w:t xml:space="preserve"> PMI corresponding to PRB granularity.</w:t>
      </w:r>
      <w:r w:rsidR="00004AE6">
        <w:t xml:space="preserve"> Although PMI overhead does not scale linearly with the</w:t>
      </w:r>
      <w:r w:rsidR="00AE6590">
        <w:t xml:space="preserve"> precoder granularity anymore, there is still an, albeit modest, overhead increase due to that the index space of the basis selection is larger.</w:t>
      </w:r>
      <w:r w:rsidR="004721B2">
        <w:t xml:space="preserve"> </w:t>
      </w:r>
      <w:r w:rsidR="000707B9">
        <w:t xml:space="preserve">Thus, </w:t>
      </w:r>
      <w:r w:rsidR="003B28B7">
        <w:t>it can be studied if PRG granularity for PMI feedback can be used instead of PRB granularity.</w:t>
      </w:r>
    </w:p>
    <w:p w14:paraId="5D55566B" w14:textId="0812605A" w:rsidR="00700A01" w:rsidRDefault="00700A01" w:rsidP="00700A01">
      <w:pPr>
        <w:pStyle w:val="Observation"/>
      </w:pPr>
      <w:bookmarkStart w:id="7" w:name="_Toc528944814"/>
      <w:r>
        <w:t>PMI granularity smaller than the PRG size may be unnecessary</w:t>
      </w:r>
      <w:bookmarkEnd w:id="7"/>
    </w:p>
    <w:p w14:paraId="7BF82BED" w14:textId="11782622" w:rsidR="005C408D" w:rsidRDefault="00632303" w:rsidP="009531BF">
      <w:r>
        <w:t xml:space="preserve">Essentially, </w:t>
      </w:r>
      <w:r w:rsidR="00195E77">
        <w:t xml:space="preserve">the PRB/PRG granularity for PMI could be realized in specification by </w:t>
      </w:r>
      <w:r w:rsidR="000E5D6F">
        <w:t>introducing smaller subband size. However, this would also imply that CQI would be reported for the smaller subband size (if subband CQI is configured). Since subband CQI is used only to aid frequency-selective scheudling, it is</w:t>
      </w:r>
      <w:r w:rsidR="00E76DC0">
        <w:t xml:space="preserve"> not crucial to have very fine granular subband CQI reported (the MCS of the scheduled PDSCH is after all wideband, and if the UE is scheduled on subset of subbands the gNB would apply subband CQI remapping algorithm to determine the proper wideband MCS).</w:t>
      </w:r>
      <w:r w:rsidR="00927AE7">
        <w:t xml:space="preserve"> Furthermore, the subband CQI overhead will scale linearly with the number of subbands (</w:t>
      </w:r>
      <w:r w:rsidR="00DC32F0">
        <w:t>which the “subband PMI” will not if frequency-parametrization approach is used).</w:t>
      </w:r>
      <w:r w:rsidR="00FD3004">
        <w:t xml:space="preserve"> Thus, directly introducing a smaller subband size will not be feasible.</w:t>
      </w:r>
    </w:p>
    <w:p w14:paraId="495B9E66" w14:textId="547F21B8" w:rsidR="00FD3004" w:rsidRDefault="00FD3004" w:rsidP="009531BF">
      <w:r>
        <w:t>One</w:t>
      </w:r>
      <w:r w:rsidR="0055142D">
        <w:t xml:space="preserve"> option, of how to implement PRB/PRG granularity for PMI in the specification is to introduce independent subband </w:t>
      </w:r>
      <w:r w:rsidR="00EF63F9">
        <w:t>size for PMI and CQI respectively. For instance, the subband size for CQI can re-use the Rel-15 subband size, while</w:t>
      </w:r>
      <w:r w:rsidR="00BA357A">
        <w:t xml:space="preserve"> the subband size for PMI can be smaller, such as 1,2 or 4 PRBs. </w:t>
      </w:r>
      <w:r w:rsidR="001F241B">
        <w:t>It can be further studied if a fixed value, e.g. 2 PRBs can be used, or it the value needs t</w:t>
      </w:r>
      <w:r w:rsidR="00D06D89">
        <w:t>o be configurable.</w:t>
      </w:r>
    </w:p>
    <w:p w14:paraId="5FFB22E7" w14:textId="00D686BA" w:rsidR="00BA357A" w:rsidRDefault="00BA357A" w:rsidP="00BA357A">
      <w:pPr>
        <w:pStyle w:val="Proposal"/>
      </w:pPr>
      <w:bookmarkStart w:id="8" w:name="_Toc528944805"/>
      <w:r>
        <w:t>For Rel-16 e-Type II CSI, consider introducing</w:t>
      </w:r>
      <w:r w:rsidR="001F241B">
        <w:t xml:space="preserve"> separate subband size for PMI and CQI</w:t>
      </w:r>
      <w:r w:rsidR="00DF09C1">
        <w:t>, where the subband size for PMI could correspond to {1,2,4} PRBs</w:t>
      </w:r>
      <w:r w:rsidR="00AE6590">
        <w:t>. FFS if this needs to be configurable or if a fixed value can be used.</w:t>
      </w:r>
      <w:bookmarkEnd w:id="8"/>
    </w:p>
    <w:p w14:paraId="0F68C5D3" w14:textId="099BFD06" w:rsidR="00D06D89" w:rsidRDefault="00D06D89" w:rsidP="00D06D89">
      <w:r>
        <w:t>With separate</w:t>
      </w:r>
      <w:r w:rsidR="00DF09C1">
        <w:t xml:space="preserve"> subband size for PMI and CQI, </w:t>
      </w:r>
      <w:r w:rsidR="004E0B1F">
        <w:t>a certain subband CQI would be calculated conditioned on multiple precoders, each corresponding to a different part of the CQI-subband. It can be noted that</w:t>
      </w:r>
      <w:r w:rsidR="004B2B8A">
        <w:t xml:space="preserve"> such calculation is already supported for both LTE and NR, as one can configure subband</w:t>
      </w:r>
      <w:r w:rsidR="00335080">
        <w:t xml:space="preserve"> PMI report with wideband CQI, and hence no further update to the CQI calculation procedure is needed.</w:t>
      </w:r>
      <w:r w:rsidR="004B2B8A">
        <w:t xml:space="preserve"> </w:t>
      </w:r>
    </w:p>
    <w:p w14:paraId="4046722C" w14:textId="40BABB43" w:rsidR="00335080" w:rsidRPr="00763AE0" w:rsidRDefault="00AC6F2C" w:rsidP="00335080">
      <w:pPr>
        <w:pStyle w:val="Observation"/>
      </w:pPr>
      <w:bookmarkStart w:id="9" w:name="_Toc528944815"/>
      <w:r>
        <w:t xml:space="preserve">NR and LTE already supports different granularities for PMI and CQI calculation, since </w:t>
      </w:r>
      <w:r w:rsidR="005D20DE">
        <w:t>wideband CQI can be configured with subband PMI</w:t>
      </w:r>
      <w:bookmarkEnd w:id="9"/>
    </w:p>
    <w:p w14:paraId="731F0E75" w14:textId="5ADE9C11" w:rsidR="008F735C" w:rsidRDefault="00FF05B5" w:rsidP="002B6B62">
      <w:pPr>
        <w:pStyle w:val="Heading1"/>
        <w:rPr>
          <w:lang w:eastAsia="en-GB"/>
        </w:rPr>
      </w:pPr>
      <w:r>
        <w:rPr>
          <w:lang w:eastAsia="en-GB"/>
        </w:rPr>
        <w:t>4</w:t>
      </w:r>
      <w:r w:rsidR="001F73DF">
        <w:rPr>
          <w:lang w:eastAsia="en-GB"/>
        </w:rPr>
        <w:tab/>
      </w:r>
      <w:r>
        <w:rPr>
          <w:lang w:eastAsia="en-GB"/>
        </w:rPr>
        <w:t>Generic</w:t>
      </w:r>
      <w:r w:rsidR="001F73DF">
        <w:rPr>
          <w:lang w:eastAsia="en-GB"/>
        </w:rPr>
        <w:t xml:space="preserve"> </w:t>
      </w:r>
      <w:r w:rsidR="003B2F6F">
        <w:rPr>
          <w:lang w:eastAsia="en-GB"/>
        </w:rPr>
        <w:t xml:space="preserve">description </w:t>
      </w:r>
      <w:r w:rsidR="001F73DF">
        <w:rPr>
          <w:lang w:eastAsia="en-GB"/>
        </w:rPr>
        <w:t>for Type II enhancements</w:t>
      </w:r>
      <w:r w:rsidR="000C1993">
        <w:rPr>
          <w:lang w:eastAsia="en-GB"/>
        </w:rPr>
        <w:t xml:space="preserve"> based on frequency-parametrization</w:t>
      </w:r>
    </w:p>
    <w:p w14:paraId="1AB63965" w14:textId="240F9640" w:rsidR="00CA1F7E" w:rsidRDefault="00241626" w:rsidP="00CA1F7E">
      <w:pPr>
        <w:rPr>
          <w:lang w:eastAsia="en-GB"/>
        </w:rPr>
      </w:pPr>
      <w:r>
        <w:rPr>
          <w:lang w:eastAsia="en-GB"/>
        </w:rPr>
        <w:t>For the NR Type II codebook in Rel-15, the precoding vector for each layer and subband is expressed in 38.214 as:</w:t>
      </w:r>
    </w:p>
    <w:p w14:paraId="782AE110" w14:textId="0503CFFF" w:rsidR="00241626" w:rsidRDefault="00241626" w:rsidP="00241626">
      <w:pPr>
        <w:jc w:val="center"/>
        <w:rPr>
          <w:color w:val="000000"/>
          <w:lang w:eastAsia="en-GB"/>
        </w:rPr>
      </w:pPr>
      <w:r>
        <w:rPr>
          <w:color w:val="000000"/>
          <w:position w:val="-62"/>
          <w:lang w:eastAsia="en-GB"/>
        </w:rPr>
        <w:object w:dxaOrig="6690" w:dyaOrig="1335" w14:anchorId="46EDD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65.1pt" o:ole="">
            <v:imagedata r:id="rId9" o:title=""/>
          </v:shape>
          <o:OLEObject Type="Embed" ProgID="Equation.DSMT4" ShapeID="_x0000_i1025" DrawAspect="Content" ObjectID="_1602686657" r:id="rId10"/>
        </w:object>
      </w:r>
    </w:p>
    <w:p w14:paraId="7E4F2CB2" w14:textId="5CE1250F" w:rsidR="00241626" w:rsidRPr="00371B60" w:rsidRDefault="00371B60" w:rsidP="00241626">
      <w:pPr>
        <w:rPr>
          <w:i/>
          <w:lang w:val="en-US" w:eastAsia="en-GB"/>
        </w:rPr>
      </w:pPr>
      <w:r>
        <w:rPr>
          <w:lang w:eastAsia="en-GB"/>
        </w:rPr>
        <w:t xml:space="preserve">If we restructure the above formula and express it a bit simpler, we can form the precoder vector </w:t>
      </w:r>
      <m:oMath>
        <m:sSub>
          <m:sSubPr>
            <m:ctrlPr>
              <w:rPr>
                <w:rFonts w:ascii="Cambria Math" w:hAnsi="Cambria Math"/>
                <w:i/>
                <w:lang w:eastAsia="en-GB"/>
              </w:rPr>
            </m:ctrlPr>
          </m:sSubPr>
          <m:e>
            <m:r>
              <m:rPr>
                <m:sty m:val="bi"/>
              </m:rPr>
              <w:rPr>
                <w:rFonts w:ascii="Cambria Math" w:hAnsi="Cambria Math"/>
                <w:lang w:eastAsia="en-GB"/>
              </w:rPr>
              <m:t>w</m:t>
            </m:r>
          </m:e>
          <m:sub>
            <m:r>
              <w:rPr>
                <w:rFonts w:ascii="Cambria Math" w:hAnsi="Cambria Math"/>
                <w:lang w:eastAsia="en-GB"/>
              </w:rPr>
              <m:t>l,p</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 xml:space="preserve"> </m:t>
        </m:r>
      </m:oMath>
      <w:r>
        <w:rPr>
          <w:lang w:eastAsia="en-GB"/>
        </w:rPr>
        <w:t xml:space="preserve">for a certain layer </w:t>
      </w:r>
      <m:oMath>
        <m:r>
          <w:rPr>
            <w:rFonts w:ascii="Cambria Math" w:hAnsi="Cambria Math"/>
            <w:lang w:eastAsia="en-GB"/>
          </w:rPr>
          <m:t>l=0,1</m:t>
        </m:r>
      </m:oMath>
      <w:r>
        <w:rPr>
          <w:lang w:eastAsia="en-GB"/>
        </w:rPr>
        <w:t xml:space="preserve">, polarization </w:t>
      </w:r>
      <m:oMath>
        <m:r>
          <w:rPr>
            <w:rFonts w:ascii="Cambria Math" w:hAnsi="Cambria Math"/>
            <w:lang w:eastAsia="en-GB"/>
          </w:rPr>
          <m:t>p=0,1</m:t>
        </m:r>
      </m:oMath>
      <w:r>
        <w:rPr>
          <w:lang w:eastAsia="en-GB"/>
        </w:rPr>
        <w:t xml:space="preserve"> and resource block </w:t>
      </w:r>
      <m:oMath>
        <m:r>
          <w:rPr>
            <w:rFonts w:ascii="Cambria Math" w:hAnsi="Cambria Math"/>
            <w:lang w:eastAsia="en-GB"/>
          </w:rPr>
          <m:t>k</m:t>
        </m:r>
        <m:r>
          <w:rPr>
            <w:rFonts w:ascii="Cambria Math" w:hAnsi="Cambria Math"/>
            <w:lang w:val="en-US" w:eastAsia="en-GB"/>
          </w:rPr>
          <m:t>=0,…,</m:t>
        </m:r>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RB</m:t>
            </m:r>
          </m:sub>
        </m:sSub>
        <m:r>
          <w:rPr>
            <w:rFonts w:ascii="Cambria Math" w:hAnsi="Cambria Math"/>
            <w:lang w:val="en-US" w:eastAsia="en-GB"/>
          </w:rPr>
          <m:t>-1</m:t>
        </m:r>
      </m:oMath>
      <w:r>
        <w:rPr>
          <w:lang w:val="en-US" w:eastAsia="en-GB"/>
        </w:rPr>
        <w:t xml:space="preserve"> as</w:t>
      </w:r>
    </w:p>
    <w:p w14:paraId="78B9A812" w14:textId="14E8A12A" w:rsidR="00371B60" w:rsidRPr="00371B60" w:rsidRDefault="00800F08" w:rsidP="00241626">
      <w:pPr>
        <w:rPr>
          <w:lang w:eastAsia="en-GB"/>
        </w:rPr>
      </w:pPr>
      <m:oMathPara>
        <m:oMath>
          <m:sSub>
            <m:sSubPr>
              <m:ctrlPr>
                <w:rPr>
                  <w:rFonts w:ascii="Cambria Math" w:hAnsi="Cambria Math"/>
                  <w:i/>
                  <w:lang w:eastAsia="en-GB"/>
                </w:rPr>
              </m:ctrlPr>
            </m:sSubPr>
            <m:e>
              <m:r>
                <m:rPr>
                  <m:sty m:val="bi"/>
                </m:rPr>
                <w:rPr>
                  <w:rFonts w:ascii="Cambria Math" w:hAnsi="Cambria Math"/>
                  <w:lang w:eastAsia="en-GB"/>
                </w:rPr>
                <m:t>w</m:t>
              </m:r>
            </m:e>
            <m:sub>
              <m:r>
                <w:rPr>
                  <w:rFonts w:ascii="Cambria Math" w:hAnsi="Cambria Math"/>
                  <w:lang w:eastAsia="en-GB"/>
                </w:rPr>
                <m:t>l,p</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C</m:t>
              </m:r>
            </m:den>
          </m:f>
          <m:nary>
            <m:naryPr>
              <m:chr m:val="∑"/>
              <m:limLoc m:val="undOvr"/>
              <m:ctrlPr>
                <w:rPr>
                  <w:rFonts w:ascii="Cambria Math" w:hAnsi="Cambria Math"/>
                  <w:i/>
                  <w:lang w:eastAsia="en-GB"/>
                </w:rPr>
              </m:ctrlPr>
            </m:naryPr>
            <m:sub>
              <m:r>
                <w:rPr>
                  <w:rFonts w:ascii="Cambria Math" w:hAnsi="Cambria Math"/>
                  <w:lang w:eastAsia="en-GB"/>
                </w:rPr>
                <m:t>i=0</m:t>
              </m:r>
            </m:sub>
            <m:sup>
              <m:r>
                <w:rPr>
                  <w:rFonts w:ascii="Cambria Math" w:hAnsi="Cambria Math"/>
                  <w:lang w:eastAsia="en-GB"/>
                </w:rPr>
                <m:t>L-1</m:t>
              </m:r>
            </m:sup>
            <m:e>
              <m:sSub>
                <m:sSubPr>
                  <m:ctrlPr>
                    <w:rPr>
                      <w:rFonts w:ascii="Cambria Math" w:hAnsi="Cambria Math"/>
                      <w:i/>
                      <w:lang w:eastAsia="en-GB"/>
                    </w:rPr>
                  </m:ctrlPr>
                </m:sSubPr>
                <m:e>
                  <m:r>
                    <m:rPr>
                      <m:sty m:val="bi"/>
                    </m:rPr>
                    <w:rPr>
                      <w:rFonts w:ascii="Cambria Math" w:hAnsi="Cambria Math"/>
                      <w:lang w:eastAsia="en-GB"/>
                    </w:rPr>
                    <m:t>v</m:t>
                  </m:r>
                  <m:ctrlPr>
                    <w:rPr>
                      <w:rFonts w:ascii="Cambria Math" w:hAnsi="Cambria Math"/>
                      <w:b/>
                      <w:i/>
                      <w:lang w:eastAsia="en-GB"/>
                    </w:rPr>
                  </m:ctrlPr>
                </m:e>
                <m:sub>
                  <m:r>
                    <w:rPr>
                      <w:rFonts w:ascii="Cambria Math" w:hAnsi="Cambria Math"/>
                      <w:lang w:eastAsia="en-GB"/>
                    </w:rPr>
                    <m:t>i</m:t>
                  </m:r>
                </m:sub>
              </m:sSub>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l,i</m:t>
                  </m:r>
                </m:sub>
                <m:sup>
                  <m:d>
                    <m:dPr>
                      <m:ctrlPr>
                        <w:rPr>
                          <w:rFonts w:ascii="Cambria Math" w:hAnsi="Cambria Math"/>
                          <w:i/>
                          <w:lang w:eastAsia="en-GB"/>
                        </w:rPr>
                      </m:ctrlPr>
                    </m:dPr>
                    <m:e>
                      <m:r>
                        <w:rPr>
                          <w:rFonts w:ascii="Cambria Math" w:hAnsi="Cambria Math"/>
                          <w:lang w:eastAsia="en-GB"/>
                        </w:rPr>
                        <m:t>1</m:t>
                      </m:r>
                    </m:e>
                  </m:d>
                </m:sup>
              </m:sSubSup>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r>
                <w:rPr>
                  <w:rFonts w:ascii="Cambria Math" w:hAnsi="Cambria Math"/>
                  <w:lang w:eastAsia="en-GB"/>
                </w:rPr>
                <m:t>(k)</m:t>
              </m:r>
            </m:e>
          </m:nary>
        </m:oMath>
      </m:oMathPara>
    </w:p>
    <w:p w14:paraId="74733A2D" w14:textId="1745D235" w:rsidR="00371B60" w:rsidRDefault="00371B60" w:rsidP="00241626">
      <w:pPr>
        <w:rPr>
          <w:lang w:eastAsia="en-GB"/>
        </w:rPr>
      </w:pPr>
      <w:r>
        <w:rPr>
          <w:lang w:eastAsia="en-GB"/>
        </w:rPr>
        <w:lastRenderedPageBreak/>
        <w:t xml:space="preserve">Where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k</m:t>
                    </m:r>
                  </m:num>
                  <m:den>
                    <m:r>
                      <w:rPr>
                        <w:rFonts w:ascii="Cambria Math" w:hAnsi="Cambria Math"/>
                        <w:lang w:eastAsia="en-GB"/>
                      </w:rPr>
                      <m:t>S</m:t>
                    </m:r>
                  </m:den>
                </m:f>
              </m:e>
            </m:d>
          </m:e>
        </m:d>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d>
              <m:dPr>
                <m:begChr m:val="⌊"/>
                <m:endChr m:val="⌋"/>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k</m:t>
                    </m:r>
                  </m:num>
                  <m:den>
                    <m:r>
                      <w:rPr>
                        <w:rFonts w:ascii="Cambria Math" w:hAnsi="Cambria Math"/>
                        <w:lang w:eastAsia="en-GB"/>
                      </w:rPr>
                      <m:t>S</m:t>
                    </m:r>
                  </m:den>
                </m:f>
              </m:e>
            </m:d>
          </m:e>
        </m:d>
      </m:oMath>
      <w:r>
        <w:rPr>
          <w:lang w:eastAsia="en-GB"/>
        </w:rPr>
        <w:t xml:space="preserve"> and </w:t>
      </w:r>
      <m:oMath>
        <m:r>
          <w:rPr>
            <w:rFonts w:ascii="Cambria Math" w:hAnsi="Cambria Math"/>
            <w:lang w:eastAsia="en-GB"/>
          </w:rPr>
          <m:t>S</m:t>
        </m:r>
      </m:oMath>
      <w:r>
        <w:rPr>
          <w:lang w:eastAsia="en-GB"/>
        </w:rPr>
        <w:t xml:space="preserve"> is the subband size. Hence, the change in</w:t>
      </w:r>
      <w:r w:rsidR="00E965EB">
        <w:rPr>
          <w:lang w:eastAsia="en-GB"/>
        </w:rPr>
        <w:t xml:space="preserve"> a</w:t>
      </w:r>
      <w:r>
        <w:rPr>
          <w:lang w:eastAsia="en-GB"/>
        </w:rPr>
        <w:t xml:space="preserve"> beam coefficient across frequency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Pr>
          <w:lang w:eastAsia="en-GB"/>
        </w:rPr>
        <w:t xml:space="preserve"> </w:t>
      </w:r>
      <w:r w:rsidR="00E965EB">
        <w:rPr>
          <w:lang w:eastAsia="en-GB"/>
        </w:rPr>
        <w:t xml:space="preserve">is determined based on the </w:t>
      </w:r>
      <m:oMath>
        <m:r>
          <w:rPr>
            <w:rFonts w:ascii="Cambria Math" w:hAnsi="Cambria Math"/>
            <w:lang w:eastAsia="en-GB"/>
          </w:rPr>
          <m:t>2S</m:t>
        </m:r>
      </m:oMath>
      <w:r w:rsidR="00E965EB">
        <w:rPr>
          <w:lang w:eastAsia="en-GB"/>
        </w:rPr>
        <w:t xml:space="preserve"> parameters </w:t>
      </w:r>
      <m:oMath>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r>
              <w:rPr>
                <w:rFonts w:ascii="Cambria Math" w:hAnsi="Cambria Math"/>
                <w:lang w:eastAsia="en-GB"/>
              </w:rPr>
              <m:t>0</m:t>
            </m:r>
          </m:e>
        </m:d>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d>
          <m:dPr>
            <m:ctrlPr>
              <w:rPr>
                <w:rFonts w:ascii="Cambria Math" w:hAnsi="Cambria Math"/>
                <w:i/>
                <w:lang w:eastAsia="en-GB"/>
              </w:rPr>
            </m:ctrlPr>
          </m:dPr>
          <m:e>
            <m:r>
              <w:rPr>
                <w:rFonts w:ascii="Cambria Math" w:hAnsi="Cambria Math"/>
                <w:lang w:eastAsia="en-GB"/>
              </w:rPr>
              <m:t>S-1</m:t>
            </m:r>
          </m:e>
        </m:d>
      </m:oMath>
      <w:r w:rsidR="00E965EB">
        <w:rPr>
          <w:lang w:eastAsia="en-GB"/>
        </w:rPr>
        <w:t xml:space="preserve"> and </w:t>
      </w:r>
      <m:oMath>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0</m:t>
            </m:r>
          </m:e>
        </m:d>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S-1</m:t>
            </m:r>
          </m:e>
        </m:d>
      </m:oMath>
      <w:r w:rsidR="00E965EB">
        <w:rPr>
          <w:lang w:eastAsia="en-GB"/>
        </w:rPr>
        <w:t xml:space="preserve">. Where the subband amplitude parameter  </w:t>
      </w:r>
      <m:oMath>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 xml:space="preserve">l,i </m:t>
            </m:r>
          </m:sub>
          <m:sup>
            <m:d>
              <m:dPr>
                <m:ctrlPr>
                  <w:rPr>
                    <w:rFonts w:ascii="Cambria Math" w:hAnsi="Cambria Math"/>
                    <w:i/>
                    <w:lang w:eastAsia="en-GB"/>
                  </w:rPr>
                </m:ctrlPr>
              </m:dPr>
              <m:e>
                <m:r>
                  <w:rPr>
                    <w:rFonts w:ascii="Cambria Math" w:hAnsi="Cambria Math"/>
                    <w:lang w:eastAsia="en-GB"/>
                  </w:rPr>
                  <m:t>2</m:t>
                </m:r>
              </m:e>
            </m:d>
          </m:sup>
        </m:sSubSup>
        <m:r>
          <w:rPr>
            <w:rFonts w:ascii="Cambria Math" w:hAnsi="Cambria Math"/>
            <w:lang w:eastAsia="en-GB"/>
          </w:rPr>
          <m:t xml:space="preserve"> </m:t>
        </m:r>
      </m:oMath>
      <w:r w:rsidR="00E965EB">
        <w:rPr>
          <w:lang w:eastAsia="en-GB"/>
        </w:rPr>
        <w:t xml:space="preserve">is quantized using 0-1 bit and the subband phase parameter </w:t>
      </w:r>
      <m:oMath>
        <m:sSub>
          <m:sSubPr>
            <m:ctrlPr>
              <w:rPr>
                <w:rFonts w:ascii="Cambria Math" w:hAnsi="Cambria Math"/>
                <w:i/>
                <w:lang w:eastAsia="en-GB"/>
              </w:rPr>
            </m:ctrlPr>
          </m:sSubPr>
          <m:e>
            <m:r>
              <w:rPr>
                <w:rFonts w:ascii="Cambria Math" w:hAnsi="Cambria Math"/>
                <w:lang w:eastAsia="en-GB"/>
              </w:rPr>
              <m:t>φ</m:t>
            </m:r>
          </m:e>
          <m:sub>
            <m:r>
              <w:rPr>
                <w:rFonts w:ascii="Cambria Math" w:hAnsi="Cambria Math"/>
                <w:lang w:eastAsia="en-GB"/>
              </w:rPr>
              <m:t>l,i</m:t>
            </m:r>
          </m:sub>
        </m:sSub>
      </m:oMath>
      <w:r w:rsidR="00E965EB">
        <w:rPr>
          <w:lang w:eastAsia="en-GB"/>
        </w:rPr>
        <w:t xml:space="preserve"> is quantized using 2-3 bits, depending on codebook configuration. Hence, we observe:</w:t>
      </w:r>
    </w:p>
    <w:p w14:paraId="57D44F0A" w14:textId="6C9DF5FF" w:rsidR="00E965EB" w:rsidRDefault="00E965EB" w:rsidP="00E965EB">
      <w:pPr>
        <w:pStyle w:val="Observation"/>
        <w:rPr>
          <w:lang w:eastAsia="en-GB"/>
        </w:rPr>
      </w:pPr>
      <w:bookmarkStart w:id="10" w:name="_Toc528944816"/>
      <w:r>
        <w:rPr>
          <w:lang w:eastAsia="en-GB"/>
        </w:rPr>
        <w:t xml:space="preserve">Rel-15 subband based Type II CSI feedback </w:t>
      </w:r>
      <w:r w:rsidR="00074FC3">
        <w:rPr>
          <w:lang w:eastAsia="en-GB"/>
        </w:rPr>
        <w:t>is</w:t>
      </w:r>
      <w:r>
        <w:rPr>
          <w:lang w:eastAsia="en-GB"/>
        </w:rPr>
        <w:t xml:space="preserve"> a special case of frequency-parametrization</w:t>
      </w:r>
      <w:bookmarkEnd w:id="10"/>
    </w:p>
    <w:p w14:paraId="7F9558BD" w14:textId="32E52625" w:rsidR="00BC6D87" w:rsidRDefault="00E965EB" w:rsidP="00203D06">
      <w:pPr>
        <w:rPr>
          <w:lang w:eastAsia="en-GB"/>
        </w:rPr>
      </w:pPr>
      <w:r>
        <w:rPr>
          <w:lang w:eastAsia="en-GB"/>
        </w:rPr>
        <w:t xml:space="preserve">For Type II overhead reductions in Rel-16, we can consider more general ways to parametrize the beam coefficients over frequency </w:t>
      </w:r>
      <w:r w:rsidR="00074FC3">
        <w:rPr>
          <w:lang w:eastAsia="en-GB"/>
        </w:rPr>
        <w:t>to</w:t>
      </w:r>
      <w:r>
        <w:rPr>
          <w:lang w:eastAsia="en-GB"/>
        </w:rPr>
        <w:t xml:space="preserve"> </w:t>
      </w:r>
      <w:r w:rsidR="005227FA">
        <w:rPr>
          <w:lang w:eastAsia="en-GB"/>
        </w:rPr>
        <w:t xml:space="preserve">achieve </w:t>
      </w:r>
      <w:r w:rsidR="00074FC3">
        <w:rPr>
          <w:lang w:eastAsia="en-GB"/>
        </w:rPr>
        <w:t>an appropriate</w:t>
      </w:r>
      <w:r w:rsidR="005227FA">
        <w:rPr>
          <w:lang w:eastAsia="en-GB"/>
        </w:rPr>
        <w:t xml:space="preserve"> performance vs</w:t>
      </w:r>
      <w:r w:rsidR="00074FC3">
        <w:rPr>
          <w:lang w:eastAsia="en-GB"/>
        </w:rPr>
        <w:t>.</w:t>
      </w:r>
      <w:r w:rsidR="005227FA">
        <w:rPr>
          <w:lang w:eastAsia="en-GB"/>
        </w:rPr>
        <w:t xml:space="preserve"> overhead trade-off. However, the basic structure of the precoder can be the same as described above</w:t>
      </w:r>
      <w:r w:rsidR="00D902CC">
        <w:rPr>
          <w:lang w:eastAsia="en-GB"/>
        </w:rPr>
        <w:t xml:space="preserve">, we just need to update the expression for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sidR="00D902CC">
        <w:rPr>
          <w:lang w:eastAsia="en-GB"/>
        </w:rPr>
        <w:t xml:space="preserve">. More generally, we can </w:t>
      </w:r>
      <w:r w:rsidR="00074FC3">
        <w:rPr>
          <w:lang w:eastAsia="en-GB"/>
        </w:rPr>
        <w:t>describe</w:t>
      </w:r>
      <w:r w:rsidR="00D902CC">
        <w:rPr>
          <w:lang w:eastAsia="en-GB"/>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oMath>
      <w:r w:rsidR="00D902CC">
        <w:rPr>
          <w:lang w:eastAsia="en-GB"/>
        </w:rPr>
        <w:t xml:space="preserve"> </w:t>
      </w:r>
      <w:r w:rsidR="00074FC3">
        <w:rPr>
          <w:lang w:eastAsia="en-GB"/>
        </w:rPr>
        <w:t>with a</w:t>
      </w:r>
      <w:r w:rsidR="00D902CC">
        <w:rPr>
          <w:lang w:eastAsia="en-GB"/>
        </w:rPr>
        <w:t xml:space="preserve"> function </w:t>
      </w:r>
      <m:oMath>
        <m:r>
          <w:rPr>
            <w:rFonts w:ascii="Cambria Math" w:hAnsi="Cambria Math"/>
            <w:lang w:eastAsia="en-GB"/>
          </w:rPr>
          <m:t>f(k,</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H-1</m:t>
            </m:r>
          </m:sub>
        </m:sSub>
        <m:r>
          <w:rPr>
            <w:rFonts w:ascii="Cambria Math" w:hAnsi="Cambria Math"/>
            <w:lang w:eastAsia="en-GB"/>
          </w:rPr>
          <m:t>)</m:t>
        </m:r>
      </m:oMath>
      <w:r w:rsidR="00074FC3">
        <w:rPr>
          <w:lang w:eastAsia="en-GB"/>
        </w:rPr>
        <w:t xml:space="preserve"> that is </w:t>
      </w:r>
      <w:r w:rsidR="00BC6D87">
        <w:rPr>
          <w:lang w:eastAsia="en-GB"/>
        </w:rPr>
        <w:t xml:space="preserve">based on </w:t>
      </w:r>
      <w:r w:rsidR="00074FC3">
        <w:rPr>
          <w:lang w:eastAsia="en-GB"/>
        </w:rPr>
        <w:t xml:space="preserve">the </w:t>
      </w:r>
      <m:oMath>
        <m:r>
          <w:rPr>
            <w:rFonts w:ascii="Cambria Math" w:hAnsi="Cambria Math"/>
            <w:lang w:eastAsia="en-GB"/>
          </w:rPr>
          <m:t xml:space="preserve">H </m:t>
        </m:r>
      </m:oMath>
      <w:r w:rsidR="00BC6D87">
        <w:rPr>
          <w:lang w:eastAsia="en-GB"/>
        </w:rPr>
        <w:t xml:space="preserve">parameters </w:t>
      </w:r>
      <m:oMath>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H-1</m:t>
            </m:r>
          </m:sub>
        </m:sSub>
      </m:oMath>
      <w:r w:rsidR="00BC6D87">
        <w:rPr>
          <w:lang w:eastAsia="en-GB"/>
        </w:rPr>
        <w:t xml:space="preserve">, where </w:t>
      </w:r>
      <w:r w:rsidR="00074FC3">
        <w:rPr>
          <w:lang w:eastAsia="en-GB"/>
        </w:rPr>
        <w:t xml:space="preserve">these </w:t>
      </w:r>
      <m:oMath>
        <m:r>
          <w:rPr>
            <w:rFonts w:ascii="Cambria Math" w:hAnsi="Cambria Math"/>
            <w:lang w:eastAsia="en-GB"/>
          </w:rPr>
          <m:t>H</m:t>
        </m:r>
      </m:oMath>
      <w:r w:rsidR="00BC6D87">
        <w:rPr>
          <w:lang w:eastAsia="en-GB"/>
        </w:rPr>
        <w:t xml:space="preserve"> parameters </w:t>
      </w:r>
      <w:r w:rsidR="00074FC3">
        <w:rPr>
          <w:lang w:eastAsia="en-GB"/>
        </w:rPr>
        <w:t xml:space="preserve">in turn </w:t>
      </w:r>
      <w:r w:rsidR="00BC6D87">
        <w:rPr>
          <w:lang w:eastAsia="en-GB"/>
        </w:rPr>
        <w:t xml:space="preserve">are </w:t>
      </w:r>
      <w:r w:rsidR="00074FC3">
        <w:rPr>
          <w:lang w:eastAsia="en-GB"/>
        </w:rPr>
        <w:t>represented</w:t>
      </w:r>
      <w:r w:rsidR="00BC6D87">
        <w:rPr>
          <w:lang w:eastAsia="en-GB"/>
        </w:rPr>
        <w:t xml:space="preserve"> using a number of bits </w:t>
      </w:r>
      <w:r w:rsidR="00074FC3">
        <w:rPr>
          <w:lang w:eastAsia="en-GB"/>
        </w:rPr>
        <w:t xml:space="preserve">which can be </w:t>
      </w:r>
      <w:r w:rsidR="00BC6D87">
        <w:rPr>
          <w:lang w:eastAsia="en-GB"/>
        </w:rPr>
        <w:t>fed back as part of the CSI report.</w:t>
      </w:r>
    </w:p>
    <w:p w14:paraId="2E77B5FC" w14:textId="6E21ABA7" w:rsidR="00BC6D87" w:rsidRPr="00AE5CFD" w:rsidRDefault="00734D4E" w:rsidP="00BC6D87">
      <w:pPr>
        <w:rPr>
          <w:lang w:val="en-US" w:eastAsia="en-GB"/>
        </w:rPr>
      </w:pPr>
      <w:r>
        <w:rPr>
          <w:lang w:eastAsia="en-GB"/>
        </w:rPr>
        <w:t xml:space="preserve">The above formulation is, as said, very generic. To </w:t>
      </w:r>
      <w:r w:rsidR="00B21306">
        <w:rPr>
          <w:lang w:eastAsia="en-GB"/>
        </w:rPr>
        <w:t xml:space="preserve">become more </w:t>
      </w:r>
      <w:r w:rsidR="000B279C">
        <w:rPr>
          <w:lang w:eastAsia="en-GB"/>
        </w:rPr>
        <w:t>specific,</w:t>
      </w:r>
      <w:r w:rsidR="00B21306">
        <w:rPr>
          <w:lang w:eastAsia="en-GB"/>
        </w:rPr>
        <w:t xml:space="preserve"> </w:t>
      </w:r>
      <w:r>
        <w:rPr>
          <w:lang w:eastAsia="en-GB"/>
        </w:rPr>
        <w:t xml:space="preserve">we </w:t>
      </w:r>
      <w:r w:rsidR="00B21306">
        <w:rPr>
          <w:lang w:eastAsia="en-GB"/>
        </w:rPr>
        <w:t xml:space="preserve">will here </w:t>
      </w:r>
      <w:r>
        <w:rPr>
          <w:lang w:eastAsia="en-GB"/>
        </w:rPr>
        <w:t xml:space="preserve">consider one </w:t>
      </w:r>
      <w:r w:rsidR="00B21306">
        <w:rPr>
          <w:lang w:eastAsia="en-GB"/>
        </w:rPr>
        <w:t xml:space="preserve">special case of </w:t>
      </w:r>
      <w:proofErr w:type="gramStart"/>
      <w:r>
        <w:rPr>
          <w:lang w:eastAsia="en-GB"/>
        </w:rPr>
        <w:t>particula</w:t>
      </w:r>
      <w:r w:rsidR="00B21306">
        <w:rPr>
          <w:lang w:eastAsia="en-GB"/>
        </w:rPr>
        <w:t>r</w:t>
      </w:r>
      <w:r>
        <w:rPr>
          <w:lang w:eastAsia="en-GB"/>
        </w:rPr>
        <w:t xml:space="preserve"> interest</w:t>
      </w:r>
      <w:proofErr w:type="gramEnd"/>
      <w:r w:rsidR="00B21306">
        <w:rPr>
          <w:lang w:eastAsia="en-GB"/>
        </w:rPr>
        <w:t xml:space="preserve">, namely the </w:t>
      </w:r>
      <w:r>
        <w:rPr>
          <w:lang w:eastAsia="en-GB"/>
        </w:rPr>
        <w:t xml:space="preserve">linear transformation case. </w:t>
      </w:r>
      <w:r w:rsidR="00C57A2E">
        <w:rPr>
          <w:lang w:eastAsia="en-GB"/>
        </w:rPr>
        <w:t xml:space="preserve">In this case, the function can be expressed using a transformation matrix </w:t>
      </w:r>
      <m:oMath>
        <m:r>
          <m:rPr>
            <m:sty m:val="bi"/>
          </m:rPr>
          <w:rPr>
            <w:rFonts w:ascii="Cambria Math" w:hAnsi="Cambria Math"/>
            <w:lang w:eastAsia="en-GB"/>
          </w:rPr>
          <m:t>T=</m:t>
        </m:r>
        <m:d>
          <m:dPr>
            <m:begChr m:val="["/>
            <m:endChr m:val="]"/>
            <m:ctrlPr>
              <w:rPr>
                <w:rFonts w:ascii="Cambria Math" w:hAnsi="Cambria Math"/>
                <w:b/>
                <w:i/>
                <w:lang w:eastAsia="en-GB"/>
              </w:rPr>
            </m:ctrlPr>
          </m:dPr>
          <m:e>
            <m:m>
              <m:mPr>
                <m:mcs>
                  <m:mc>
                    <m:mcPr>
                      <m:count m:val="3"/>
                      <m:mcJc m:val="center"/>
                    </m:mcPr>
                  </m:mc>
                </m:mcs>
                <m:ctrlPr>
                  <w:rPr>
                    <w:rFonts w:ascii="Cambria Math" w:hAnsi="Cambria Math"/>
                    <w:i/>
                    <w:lang w:eastAsia="en-GB"/>
                  </w:rPr>
                </m:ctrlPr>
              </m:mPr>
              <m:mr>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0,0</m:t>
                      </m:r>
                    </m:sub>
                  </m:sSub>
                </m:e>
                <m:e>
                  <m:r>
                    <w:rPr>
                      <w:rFonts w:ascii="Cambria Math" w:hAnsi="Cambria Math"/>
                      <w:lang w:eastAsia="en-GB"/>
                    </w:rPr>
                    <m:t>⋯</m:t>
                  </m:r>
                </m:e>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m:t>
                      </m:r>
                    </m:sub>
                  </m:sSub>
                </m:e>
              </m:mr>
              <m:mr>
                <m:e>
                  <m:r>
                    <w:rPr>
                      <w:rFonts w:ascii="Cambria Math" w:hAnsi="Cambria Math"/>
                      <w:lang w:eastAsia="en-GB"/>
                    </w:rPr>
                    <m:t>⋮</m:t>
                  </m:r>
                </m:e>
                <m:e>
                  <m:r>
                    <w:rPr>
                      <w:rFonts w:ascii="Cambria Math" w:hAnsi="Cambria Math"/>
                      <w:lang w:eastAsia="en-GB"/>
                    </w:rPr>
                    <m:t>⋱</m:t>
                  </m:r>
                </m:e>
                <m:e>
                  <m:r>
                    <w:rPr>
                      <w:rFonts w:ascii="Cambria Math" w:hAnsi="Cambria Math"/>
                      <w:lang w:eastAsia="en-GB"/>
                    </w:rPr>
                    <m:t>⋮</m:t>
                  </m:r>
                </m:e>
              </m:mr>
              <m:mr>
                <m:e>
                  <m:sSub>
                    <m:sSubPr>
                      <m:ctrlPr>
                        <w:rPr>
                          <w:rFonts w:ascii="Cambria Math" w:hAnsi="Cambria Math"/>
                          <w:i/>
                          <w:lang w:eastAsia="en-GB"/>
                        </w:rPr>
                      </m:ctrlPr>
                    </m:sSub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,0</m:t>
                      </m:r>
                    </m:sub>
                  </m:sSub>
                </m:e>
                <m:e>
                  <m:r>
                    <w:rPr>
                      <w:rFonts w:ascii="Cambria Math" w:hAnsi="Cambria Math"/>
                      <w:lang w:eastAsia="en-GB"/>
                    </w:rPr>
                    <m:t>⋯</m:t>
                  </m:r>
                </m:e>
                <m:e>
                  <m:sSub>
                    <m:sSubPr>
                      <m:ctrlPr>
                        <w:rPr>
                          <w:rFonts w:ascii="Cambria Math" w:hAnsi="Cambria Math"/>
                          <w:i/>
                          <w:lang w:eastAsia="en-GB"/>
                        </w:rPr>
                      </m:ctrlPr>
                    </m:sSub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,M</m:t>
                      </m:r>
                    </m:sub>
                  </m:sSub>
                </m:e>
              </m:mr>
            </m:m>
          </m:e>
        </m:d>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w:rPr>
                <w:rFonts w:ascii="Cambria Math" w:hAnsi="Cambria Math"/>
                <w:lang w:eastAsia="en-GB"/>
              </w:rPr>
              <m:t>0</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w:rPr>
                <w:rFonts w:ascii="Cambria Math" w:hAnsi="Cambria Math"/>
                <w:lang w:eastAsia="en-GB"/>
              </w:rPr>
              <m:t>M-1</m:t>
            </m:r>
          </m:sub>
        </m:sSub>
        <m:r>
          <m:rPr>
            <m:sty m:val="bi"/>
          </m:rPr>
          <w:rPr>
            <w:rFonts w:ascii="Cambria Math" w:hAnsi="Cambria Math"/>
            <w:lang w:eastAsia="en-GB"/>
          </w:rPr>
          <m:t xml:space="preserve"> ]</m:t>
        </m:r>
      </m:oMath>
      <w:r w:rsidR="00AE5CFD">
        <w:rPr>
          <w:b/>
          <w:lang w:eastAsia="en-GB"/>
        </w:rPr>
        <w:t xml:space="preserve">, </w:t>
      </w:r>
      <w:r w:rsidR="00AE5CFD">
        <w:rPr>
          <w:lang w:eastAsia="en-GB"/>
        </w:rPr>
        <w:t xml:space="preserve">i.e. consisting of </w:t>
      </w:r>
      <m:oMath>
        <m:r>
          <w:rPr>
            <w:rFonts w:ascii="Cambria Math" w:hAnsi="Cambria Math"/>
            <w:lang w:eastAsia="en-GB"/>
          </w:rPr>
          <m:t>M</m:t>
        </m:r>
      </m:oMath>
      <w:r w:rsidR="00B21306">
        <w:rPr>
          <w:lang w:eastAsia="en-GB"/>
        </w:rPr>
        <w:t xml:space="preserve"> number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×1</m:t>
        </m:r>
      </m:oMath>
      <w:r w:rsidR="00AE5CFD">
        <w:rPr>
          <w:lang w:eastAsia="en-GB"/>
        </w:rPr>
        <w:t xml:space="preserve"> </w:t>
      </w:r>
      <w:r w:rsidR="00B21306">
        <w:rPr>
          <w:lang w:eastAsia="en-GB"/>
        </w:rPr>
        <w:t xml:space="preserve">sized </w:t>
      </w:r>
      <w:r w:rsidR="00AE5CFD">
        <w:rPr>
          <w:lang w:eastAsia="en-GB"/>
        </w:rPr>
        <w:t xml:space="preserve">basis vectors along with a coefficient vector </w:t>
      </w:r>
      <m:oMath>
        <m:r>
          <m:rPr>
            <m:sty m:val="bi"/>
          </m:rPr>
          <w:rPr>
            <w:rFonts w:ascii="Cambria Math" w:hAnsi="Cambria Math"/>
            <w:lang w:eastAsia="en-GB"/>
          </w:rPr>
          <m:t>β=</m:t>
        </m:r>
        <m:d>
          <m:dPr>
            <m:begChr m:val="["/>
            <m:endChr m:val="]"/>
            <m:ctrlPr>
              <w:rPr>
                <w:rFonts w:ascii="Cambria Math" w:hAnsi="Cambria Math"/>
                <w:b/>
                <w:i/>
                <w:lang w:eastAsia="en-GB"/>
              </w:rPr>
            </m:ctrlPr>
          </m:dPr>
          <m:e>
            <m:eqArr>
              <m:eqArrPr>
                <m:ctrlPr>
                  <w:rPr>
                    <w:rFonts w:ascii="Cambria Math" w:hAnsi="Cambria Math"/>
                    <w:i/>
                    <w:lang w:eastAsia="en-GB"/>
                  </w:rPr>
                </m:ctrlPr>
              </m:eqArr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e>
              <m:e>
                <m:r>
                  <w:rPr>
                    <w:rFonts w:ascii="Cambria Math" w:hAnsi="Cambria Math"/>
                    <w:lang w:eastAsia="en-GB"/>
                  </w:rPr>
                  <m:t>…</m:t>
                </m:r>
                <m:ctrlPr>
                  <w:rPr>
                    <w:rFonts w:ascii="Cambria Math" w:eastAsia="Cambria Math" w:hAnsi="Cambria Math" w:cs="Cambria Math"/>
                    <w:i/>
                    <w:lang w:eastAsia="en-GB"/>
                  </w:rPr>
                </m:ctrlPr>
              </m:e>
              <m:e>
                <m:sSub>
                  <m:sSubPr>
                    <m:ctrlPr>
                      <w:rPr>
                        <w:rFonts w:ascii="Cambria Math" w:eastAsia="Cambria Math" w:hAnsi="Cambria Math" w:cs="Cambria Math"/>
                        <w:i/>
                        <w:lang w:eastAsia="en-GB"/>
                      </w:rPr>
                    </m:ctrlPr>
                  </m:sSubPr>
                  <m:e>
                    <m:r>
                      <w:rPr>
                        <w:rFonts w:ascii="Cambria Math" w:eastAsia="Cambria Math" w:hAnsi="Cambria Math" w:cs="Cambria Math"/>
                        <w:lang w:eastAsia="en-GB"/>
                      </w:rPr>
                      <m:t>β</m:t>
                    </m:r>
                  </m:e>
                  <m:sub>
                    <m:r>
                      <w:rPr>
                        <w:rFonts w:ascii="Cambria Math" w:eastAsia="Cambria Math" w:hAnsi="Cambria Math" w:cs="Cambria Math"/>
                        <w:lang w:eastAsia="en-GB"/>
                      </w:rPr>
                      <m:t>M-1</m:t>
                    </m:r>
                  </m:sub>
                </m:sSub>
              </m:e>
            </m:eqArr>
          </m:e>
        </m:d>
      </m:oMath>
      <w:r w:rsidR="00AE5CFD">
        <w:rPr>
          <w:b/>
          <w:lang w:eastAsia="en-GB"/>
        </w:rPr>
        <w:t xml:space="preserve">. </w:t>
      </w:r>
      <w:r w:rsidR="00AE5CFD">
        <w:rPr>
          <w:lang w:eastAsia="en-GB"/>
        </w:rPr>
        <w:t xml:space="preserve">The </w:t>
      </w:r>
      <w:r w:rsidR="009A6A51">
        <w:rPr>
          <w:lang w:eastAsia="en-GB"/>
        </w:rPr>
        <w:t>H</w:t>
      </w:r>
      <w:r w:rsidR="00AE5CFD">
        <w:rPr>
          <w:lang w:eastAsia="en-GB"/>
        </w:rPr>
        <w:t xml:space="preserve"> parameters can, for instance be split up into a parameter  </w:t>
      </w:r>
      <m:oMath>
        <m:r>
          <w:rPr>
            <w:rFonts w:ascii="Cambria Math" w:hAnsi="Cambria Math"/>
            <w:lang w:eastAsia="en-GB"/>
          </w:rPr>
          <m:t>I</m:t>
        </m:r>
      </m:oMath>
      <w:r w:rsidR="00AE5CFD">
        <w:rPr>
          <w:lang w:eastAsia="en-GB"/>
        </w:rPr>
        <w:t xml:space="preserve">, selecting the </w:t>
      </w:r>
      <m:oMath>
        <m:r>
          <w:rPr>
            <w:rFonts w:ascii="Cambria Math" w:hAnsi="Cambria Math"/>
            <w:lang w:eastAsia="en-GB"/>
          </w:rPr>
          <m:t>M</m:t>
        </m:r>
      </m:oMath>
      <w:r w:rsidR="00AE5CFD">
        <w:rPr>
          <w:lang w:eastAsia="en-GB"/>
        </w:rPr>
        <w:t xml:space="preserve"> basis vectors from a set of basis vector candidates</w:t>
      </w:r>
      <w:r w:rsidR="008C047D">
        <w:rPr>
          <w:lang w:eastAsia="en-GB"/>
        </w:rPr>
        <w:t>,</w:t>
      </w:r>
      <w:r w:rsidR="00AE5CFD">
        <w:rPr>
          <w:lang w:eastAsia="en-GB"/>
        </w:rPr>
        <w:t xml:space="preserve"> and the coefficients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val="en-US" w:eastAsia="en-GB"/>
              </w:rPr>
              <m:t>M-1</m:t>
            </m:r>
          </m:sub>
        </m:sSub>
      </m:oMath>
      <w:r w:rsidR="00AE5CFD">
        <w:rPr>
          <w:lang w:eastAsia="en-GB"/>
        </w:rPr>
        <w:t xml:space="preserve">. </w:t>
      </w:r>
      <w:r w:rsidR="008C047D">
        <w:rPr>
          <w:lang w:eastAsia="en-GB"/>
        </w:rPr>
        <w:t xml:space="preserve">That is, some index parameter </w:t>
      </w:r>
      <m:oMath>
        <m:r>
          <w:rPr>
            <w:rFonts w:ascii="Cambria Math" w:hAnsi="Cambria Math"/>
            <w:lang w:eastAsia="en-GB"/>
          </w:rPr>
          <m:t>I</m:t>
        </m:r>
      </m:oMath>
      <w:r w:rsidR="008C047D">
        <w:rPr>
          <w:lang w:eastAsia="en-GB"/>
        </w:rPr>
        <w:t xml:space="preserve">  determines the basis matrix </w:t>
      </w:r>
      <m:oMath>
        <m:r>
          <m:rPr>
            <m:sty m:val="bi"/>
          </m:rPr>
          <w:rPr>
            <w:rFonts w:ascii="Cambria Math" w:hAnsi="Cambria Math"/>
            <w:lang w:eastAsia="en-GB"/>
          </w:rPr>
          <m:t>T</m:t>
        </m:r>
      </m:oMath>
      <w:r w:rsidR="008C047D">
        <w:rPr>
          <w:b/>
          <w:lang w:eastAsia="en-GB"/>
        </w:rPr>
        <w:t xml:space="preserve">, </w:t>
      </w:r>
      <w:r w:rsidR="008C047D" w:rsidRPr="000B279C">
        <w:rPr>
          <w:lang w:eastAsia="en-GB"/>
        </w:rPr>
        <w:t>for</w:t>
      </w:r>
      <w:r w:rsidR="008C047D">
        <w:rPr>
          <w:b/>
          <w:lang w:eastAsia="en-GB"/>
        </w:rPr>
        <w:t xml:space="preserve"> </w:t>
      </w:r>
      <w:r w:rsidR="008C047D" w:rsidRPr="000B279C">
        <w:rPr>
          <w:lang w:eastAsia="en-GB"/>
        </w:rPr>
        <w:t>instance</w:t>
      </w:r>
      <w:r w:rsidR="008C047D">
        <w:rPr>
          <w:lang w:eastAsia="en-GB"/>
        </w:rPr>
        <w:t xml:space="preserve"> by selecting columns from a wider </w:t>
      </w:r>
      <w:r w:rsidR="008C047D" w:rsidRPr="008C047D">
        <w:rPr>
          <w:lang w:eastAsia="en-GB"/>
        </w:rPr>
        <w:t>matrix</w:t>
      </w:r>
      <w:r w:rsidR="008C047D" w:rsidRPr="000B279C">
        <w:rPr>
          <w:lang w:eastAsia="en-GB"/>
        </w:rPr>
        <w:t xml:space="preserve"> or by some other arbitrary way.</w:t>
      </w:r>
      <w:r w:rsidR="008C047D" w:rsidRPr="008C047D">
        <w:rPr>
          <w:lang w:eastAsia="en-GB"/>
        </w:rPr>
        <w:t xml:space="preserve"> </w:t>
      </w:r>
      <w:r w:rsidR="00AE5CFD" w:rsidRPr="008C047D">
        <w:rPr>
          <w:lang w:eastAsia="en-GB"/>
        </w:rPr>
        <w:t>The</w:t>
      </w:r>
      <w:r w:rsidR="00AE5CFD">
        <w:rPr>
          <w:lang w:eastAsia="en-GB"/>
        </w:rPr>
        <w:t xml:space="preserve"> beam coefficients may then be expressed as </w:t>
      </w:r>
    </w:p>
    <w:p w14:paraId="7BFB1E95" w14:textId="480FDE19" w:rsidR="00AE5CFD" w:rsidRPr="00AE5CFD" w:rsidRDefault="00800F08" w:rsidP="00AE5CFD">
      <w:pPr>
        <w:rPr>
          <w:lang w:eastAsia="en-GB"/>
        </w:rPr>
      </w:pPr>
      <m:oMathPara>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k</m:t>
              </m:r>
            </m:e>
          </m:d>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k,</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H-1</m:t>
                  </m:r>
                </m:sub>
              </m:sSub>
            </m:e>
          </m:d>
          <m:r>
            <w:rPr>
              <w:rFonts w:ascii="Cambria Math" w:hAnsi="Cambria Math"/>
              <w:lang w:eastAsia="en-GB"/>
            </w:rPr>
            <m:t>=f</m:t>
          </m:r>
          <m:d>
            <m:dPr>
              <m:ctrlPr>
                <w:rPr>
                  <w:rFonts w:ascii="Cambria Math" w:hAnsi="Cambria Math"/>
                  <w:i/>
                  <w:lang w:eastAsia="en-GB"/>
                </w:rPr>
              </m:ctrlPr>
            </m:dPr>
            <m:e>
              <m:r>
                <w:rPr>
                  <w:rFonts w:ascii="Cambria Math" w:hAnsi="Cambria Math"/>
                  <w:lang w:eastAsia="en-GB"/>
                </w:rPr>
                <m:t>k,I,</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M-1</m:t>
                  </m:r>
                </m:sub>
              </m:sSub>
            </m:e>
          </m:d>
          <m:r>
            <w:rPr>
              <w:rFonts w:ascii="Cambria Math" w:hAnsi="Cambria Math"/>
              <w:lang w:eastAsia="en-GB"/>
            </w:rPr>
            <m:t>=</m:t>
          </m:r>
          <m:sSub>
            <m:sSubPr>
              <m:ctrlPr>
                <w:rPr>
                  <w:rFonts w:ascii="Cambria Math" w:hAnsi="Cambria Math"/>
                  <w:b/>
                  <w:i/>
                  <w:lang w:eastAsia="en-GB"/>
                </w:rPr>
              </m:ctrlPr>
            </m:sSubPr>
            <m:e>
              <m:d>
                <m:dPr>
                  <m:begChr m:val="["/>
                  <m:endChr m:val="]"/>
                  <m:ctrlPr>
                    <w:rPr>
                      <w:rFonts w:ascii="Cambria Math" w:hAnsi="Cambria Math"/>
                      <w:i/>
                      <w:lang w:eastAsia="en-GB"/>
                    </w:rPr>
                  </m:ctrlPr>
                </m:dPr>
                <m:e>
                  <m:r>
                    <m:rPr>
                      <m:sty m:val="bi"/>
                    </m:rPr>
                    <w:rPr>
                      <w:rFonts w:ascii="Cambria Math" w:hAnsi="Cambria Math"/>
                      <w:lang w:eastAsia="en-GB"/>
                    </w:rPr>
                    <m:t>T</m:t>
                  </m:r>
                  <m:ctrlPr>
                    <w:rPr>
                      <w:rFonts w:ascii="Cambria Math" w:hAnsi="Cambria Math"/>
                      <w:b/>
                      <w:i/>
                      <w:lang w:eastAsia="en-GB"/>
                    </w:rPr>
                  </m:ctrlPr>
                </m:e>
              </m:d>
              <m:ctrlPr>
                <w:rPr>
                  <w:rFonts w:ascii="Cambria Math" w:hAnsi="Cambria Math"/>
                  <w:i/>
                  <w:lang w:eastAsia="en-GB"/>
                </w:rPr>
              </m:ctrlPr>
            </m:e>
            <m:sub>
              <m:r>
                <w:rPr>
                  <w:rFonts w:ascii="Cambria Math" w:hAnsi="Cambria Math"/>
                  <w:lang w:eastAsia="en-GB"/>
                </w:rPr>
                <m:t>k,:</m:t>
              </m:r>
            </m:sub>
          </m:sSub>
          <m:r>
            <m:rPr>
              <m:sty m:val="bi"/>
            </m:rPr>
            <w:rPr>
              <w:rFonts w:ascii="Cambria Math" w:hAnsi="Cambria Math"/>
              <w:lang w:eastAsia="en-GB"/>
            </w:rPr>
            <m:t>β=</m:t>
          </m:r>
          <m:nary>
            <m:naryPr>
              <m:chr m:val="∑"/>
              <m:limLoc m:val="undOvr"/>
              <m:ctrlPr>
                <w:rPr>
                  <w:rFonts w:ascii="Cambria Math" w:hAnsi="Cambria Math"/>
                  <w:i/>
                  <w:lang w:eastAsia="en-GB"/>
                </w:rPr>
              </m:ctrlPr>
            </m:naryPr>
            <m:sub>
              <m:r>
                <w:rPr>
                  <w:rFonts w:ascii="Cambria Math" w:hAnsi="Cambria Math"/>
                  <w:lang w:eastAsia="en-GB"/>
                </w:rPr>
                <m:t>m=0</m:t>
              </m:r>
            </m:sub>
            <m:sup>
              <m:r>
                <w:rPr>
                  <w:rFonts w:ascii="Cambria Math" w:hAnsi="Cambria Math"/>
                  <w:lang w:eastAsia="en-GB"/>
                </w:rPr>
                <m:t>M-1</m:t>
              </m:r>
            </m:sup>
            <m:e>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k,m</m:t>
                  </m:r>
                </m:sub>
              </m:sSub>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m</m:t>
                  </m:r>
                </m:sub>
              </m:sSub>
            </m:e>
          </m:nary>
          <m:r>
            <w:rPr>
              <w:rFonts w:ascii="Cambria Math" w:hAnsi="Cambria Math"/>
              <w:lang w:eastAsia="en-GB"/>
            </w:rPr>
            <m:t>.</m:t>
          </m:r>
        </m:oMath>
      </m:oMathPara>
    </w:p>
    <w:p w14:paraId="3E04DFA9" w14:textId="1E5E0DEE" w:rsidR="00DC504F" w:rsidRPr="00955F85" w:rsidRDefault="00BD2079" w:rsidP="00DC504F">
      <w:pPr>
        <w:rPr>
          <w:lang w:eastAsia="en-GB"/>
        </w:rPr>
      </w:pPr>
      <w:r>
        <w:rPr>
          <w:lang w:eastAsia="en-GB"/>
        </w:rPr>
        <w:t>That is, if we form a vector with all the beam coefficient</w:t>
      </w:r>
      <w:r w:rsidR="00FC4701">
        <w:rPr>
          <w:lang w:eastAsia="en-GB"/>
        </w:rPr>
        <w:t>s</w:t>
      </w:r>
      <w:r>
        <w:rPr>
          <w:lang w:eastAsia="en-GB"/>
        </w:rPr>
        <w:t xml:space="preserve"> (for a beam) </w:t>
      </w:r>
      <m:oMath>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l,i</m:t>
            </m:r>
          </m:sub>
        </m:sSub>
        <m:r>
          <m:rPr>
            <m:sty m:val="bi"/>
          </m:rPr>
          <w:rPr>
            <w:rFonts w:ascii="Cambria Math" w:hAnsi="Cambria Math"/>
            <w:lang w:eastAsia="en-GB"/>
          </w:rPr>
          <m:t>=</m:t>
        </m:r>
        <m:d>
          <m:dPr>
            <m:begChr m:val="["/>
            <m:endChr m:val="]"/>
            <m:ctrlPr>
              <w:rPr>
                <w:rFonts w:ascii="Cambria Math" w:hAnsi="Cambria Math"/>
                <w:b/>
                <w:i/>
                <w:lang w:eastAsia="en-GB"/>
              </w:rPr>
            </m:ctrlPr>
          </m:dPr>
          <m:e>
            <m:eqArr>
              <m:eqArrPr>
                <m:ctrlPr>
                  <w:rPr>
                    <w:rFonts w:ascii="Cambria Math" w:hAnsi="Cambria Math"/>
                    <w:b/>
                    <w:i/>
                    <w:lang w:eastAsia="en-GB"/>
                  </w:rPr>
                </m:ctrlPr>
              </m:eqArrPr>
              <m:e>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d>
                  <m:dPr>
                    <m:ctrlPr>
                      <w:rPr>
                        <w:rFonts w:ascii="Cambria Math" w:hAnsi="Cambria Math"/>
                        <w:i/>
                        <w:lang w:eastAsia="en-GB"/>
                      </w:rPr>
                    </m:ctrlPr>
                  </m:dPr>
                  <m:e>
                    <m:r>
                      <w:rPr>
                        <w:rFonts w:ascii="Cambria Math" w:hAnsi="Cambria Math"/>
                        <w:lang w:eastAsia="en-GB"/>
                      </w:rPr>
                      <m:t>0</m:t>
                    </m:r>
                  </m:e>
                </m:d>
                <m:ctrlPr>
                  <w:rPr>
                    <w:rFonts w:ascii="Cambria Math" w:hAnsi="Cambria Math"/>
                    <w:i/>
                    <w:lang w:eastAsia="en-GB"/>
                  </w:rPr>
                </m:ctrlPr>
              </m:e>
              <m:e>
                <m:r>
                  <w:rPr>
                    <w:rFonts w:ascii="Cambria Math" w:hAnsi="Cambria Math"/>
                    <w:lang w:eastAsia="en-GB"/>
                  </w:rPr>
                  <m:t>…</m:t>
                </m:r>
                <m:ctrlPr>
                  <w:rPr>
                    <w:rFonts w:ascii="Cambria Math" w:eastAsia="Cambria Math" w:hAnsi="Cambria Math" w:cs="Cambria Math"/>
                    <w:i/>
                    <w:lang w:eastAsia="en-GB"/>
                  </w:rPr>
                </m:ctrlPr>
              </m:e>
              <m:e>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l,i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RB</m:t>
                    </m:r>
                  </m:sub>
                </m:sSub>
                <m:r>
                  <w:rPr>
                    <w:rFonts w:ascii="Cambria Math" w:hAnsi="Cambria Math"/>
                    <w:lang w:eastAsia="en-GB"/>
                  </w:rPr>
                  <m:t>-1)</m:t>
                </m:r>
                <m:ctrlPr>
                  <w:rPr>
                    <w:rFonts w:ascii="Cambria Math" w:hAnsi="Cambria Math"/>
                    <w:i/>
                    <w:lang w:eastAsia="en-GB"/>
                  </w:rPr>
                </m:ctrlPr>
              </m:e>
            </m:eqArr>
          </m:e>
        </m:d>
      </m:oMath>
      <w:r w:rsidR="00DC504F">
        <w:rPr>
          <w:lang w:eastAsia="en-GB"/>
        </w:rPr>
        <w:t xml:space="preserve">, we can express that vector as a linear transformation </w:t>
      </w:r>
      <m:oMath>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l,i</m:t>
            </m:r>
          </m:sub>
        </m:sSub>
        <m:r>
          <m:rPr>
            <m:sty m:val="bi"/>
          </m:rPr>
          <w:rPr>
            <w:rFonts w:ascii="Cambria Math" w:hAnsi="Cambria Math"/>
            <w:lang w:eastAsia="en-GB"/>
          </w:rPr>
          <m:t>=T</m:t>
        </m:r>
        <m:sSub>
          <m:sSubPr>
            <m:ctrlPr>
              <w:rPr>
                <w:rFonts w:ascii="Cambria Math" w:hAnsi="Cambria Math"/>
                <w:b/>
                <w:i/>
                <w:lang w:eastAsia="en-GB"/>
              </w:rPr>
            </m:ctrlPr>
          </m:sSubPr>
          <m:e>
            <m:r>
              <m:rPr>
                <m:sty m:val="bi"/>
              </m:rPr>
              <w:rPr>
                <w:rFonts w:ascii="Cambria Math" w:hAnsi="Cambria Math"/>
                <w:lang w:eastAsia="en-GB"/>
              </w:rPr>
              <m:t>β</m:t>
            </m:r>
          </m:e>
          <m:sub>
            <m:r>
              <w:rPr>
                <w:rFonts w:ascii="Cambria Math" w:hAnsi="Cambria Math"/>
                <w:lang w:eastAsia="en-GB"/>
              </w:rPr>
              <m:t>i</m:t>
            </m:r>
          </m:sub>
        </m:sSub>
      </m:oMath>
      <w:r w:rsidR="00DC504F">
        <w:rPr>
          <w:b/>
          <w:lang w:eastAsia="en-GB"/>
        </w:rPr>
        <w:t xml:space="preserve">, </w:t>
      </w:r>
      <w:r w:rsidR="00DC504F">
        <w:rPr>
          <w:lang w:eastAsia="en-GB"/>
        </w:rPr>
        <w:t>which is quite neat. In fact, we can express the entire precoder using matri</w:t>
      </w:r>
      <w:r w:rsidR="00FC4701">
        <w:rPr>
          <w:lang w:eastAsia="en-GB"/>
        </w:rPr>
        <w:t>x</w:t>
      </w:r>
      <w:r w:rsidR="00DC504F">
        <w:rPr>
          <w:lang w:eastAsia="en-GB"/>
        </w:rPr>
        <w:t xml:space="preserve"> formulation, which is good for illustrative purposes. The beam coefficients for all the beams </w:t>
      </w:r>
      <w:r w:rsidR="00DC504F">
        <w:rPr>
          <w:i/>
          <w:lang w:eastAsia="en-GB"/>
        </w:rPr>
        <w:t>i</w:t>
      </w:r>
      <w:r w:rsidR="00DC504F">
        <w:rPr>
          <w:lang w:eastAsia="en-GB"/>
        </w:rPr>
        <w:t xml:space="preserve"> and resource blocks </w:t>
      </w:r>
      <w:r w:rsidR="00DC504F">
        <w:rPr>
          <w:i/>
          <w:lang w:eastAsia="en-GB"/>
        </w:rPr>
        <w:t>k</w:t>
      </w:r>
      <w:r w:rsidR="00DC504F">
        <w:rPr>
          <w:lang w:eastAsia="en-GB"/>
        </w:rPr>
        <w:t xml:space="preserve"> can be stacked into a matrix </w:t>
      </w:r>
      <m:oMath>
        <m:sSub>
          <m:sSubPr>
            <m:ctrlPr>
              <w:rPr>
                <w:rFonts w:ascii="Cambria Math" w:hAnsi="Cambria Math"/>
                <w:i/>
                <w:lang w:eastAsia="en-GB"/>
              </w:rPr>
            </m:ctrlPr>
          </m:sSubPr>
          <m:e>
            <m:r>
              <m:rPr>
                <m:sty m:val="bi"/>
              </m:rPr>
              <w:rPr>
                <w:rFonts w:ascii="Cambria Math" w:hAnsi="Cambria Math"/>
                <w:lang w:eastAsia="en-GB"/>
              </w:rPr>
              <m:t>C</m:t>
            </m:r>
          </m:e>
          <m:sub>
            <m:r>
              <w:rPr>
                <w:rFonts w:ascii="Cambria Math" w:hAnsi="Cambria Math"/>
                <w:lang w:eastAsia="en-GB"/>
              </w:rPr>
              <m:t>F</m:t>
            </m:r>
          </m:sub>
        </m:sSub>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l,0</m:t>
                    </m:r>
                    <m:ctrlPr>
                      <w:rPr>
                        <w:rFonts w:ascii="Cambria Math" w:hAnsi="Cambria Math"/>
                        <w:i/>
                        <w:lang w:eastAsia="en-GB"/>
                      </w:rPr>
                    </m:ctrlPr>
                  </m:sub>
                  <m:sup>
                    <m:r>
                      <w:rPr>
                        <w:rFonts w:ascii="Cambria Math" w:hAnsi="Cambria Math"/>
                        <w:lang w:eastAsia="en-GB"/>
                      </w:rPr>
                      <m:t>T</m:t>
                    </m:r>
                  </m:sup>
                </m:sSubSup>
                <m:r>
                  <m:rPr>
                    <m:sty m:val="bi"/>
                  </m:rPr>
                  <w:rPr>
                    <w:rFonts w:ascii="Cambria Math" w:hAnsi="Cambria Math"/>
                    <w:lang w:eastAsia="en-GB"/>
                  </w:rPr>
                  <m:t xml:space="preserve"> </m:t>
                </m:r>
                <m:ctrlPr>
                  <w:rPr>
                    <w:rFonts w:ascii="Cambria Math" w:hAnsi="Cambria Math"/>
                    <w:b/>
                    <w:i/>
                    <w:lang w:eastAsia="en-GB"/>
                  </w:rPr>
                </m:ctrlPr>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l,2L-1</m:t>
                    </m:r>
                    <m:ctrlPr>
                      <w:rPr>
                        <w:rFonts w:ascii="Cambria Math" w:hAnsi="Cambria Math"/>
                        <w:i/>
                        <w:lang w:eastAsia="en-GB"/>
                      </w:rPr>
                    </m:ctrlPr>
                  </m:sub>
                  <m:sup>
                    <m:r>
                      <w:rPr>
                        <w:rFonts w:ascii="Cambria Math" w:hAnsi="Cambria Math"/>
                        <w:lang w:eastAsia="en-GB"/>
                      </w:rPr>
                      <m:t>T</m:t>
                    </m:r>
                  </m:sup>
                </m:sSubSup>
                <m:ctrlPr>
                  <w:rPr>
                    <w:rFonts w:ascii="Cambria Math" w:hAnsi="Cambria Math"/>
                    <w:b/>
                    <w:i/>
                    <w:lang w:eastAsia="en-GB"/>
                  </w:rPr>
                </m:ctrlPr>
              </m:e>
            </m:eqArr>
          </m:e>
        </m:d>
      </m:oMath>
      <w:r w:rsidR="00F07382">
        <w:rPr>
          <w:lang w:eastAsia="en-GB"/>
        </w:rPr>
        <w:t xml:space="preserve"> which then can be expressed as </w:t>
      </w:r>
      <m:oMath>
        <m:sSub>
          <m:sSubPr>
            <m:ctrlPr>
              <w:rPr>
                <w:rFonts w:ascii="Cambria Math" w:hAnsi="Cambria Math"/>
                <w:i/>
                <w:lang w:eastAsia="en-GB"/>
              </w:rPr>
            </m:ctrlPr>
          </m:sSubPr>
          <m:e>
            <m:r>
              <m:rPr>
                <m:sty m:val="bi"/>
              </m:rPr>
              <w:rPr>
                <w:rFonts w:ascii="Cambria Math" w:hAnsi="Cambria Math"/>
                <w:lang w:eastAsia="en-GB"/>
              </w:rPr>
              <m:t>C</m:t>
            </m:r>
          </m:e>
          <m:sub>
            <m:r>
              <w:rPr>
                <w:rFonts w:ascii="Cambria Math" w:hAnsi="Cambria Math"/>
                <w:lang w:eastAsia="en-GB"/>
              </w:rPr>
              <m:t>F</m:t>
            </m:r>
          </m:sub>
        </m:sSub>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l,0</m:t>
                    </m:r>
                    <m:ctrlPr>
                      <w:rPr>
                        <w:rFonts w:ascii="Cambria Math" w:hAnsi="Cambria Math"/>
                        <w:i/>
                        <w:lang w:eastAsia="en-GB"/>
                      </w:rPr>
                    </m:ctrlPr>
                  </m:sub>
                  <m:sup>
                    <m:r>
                      <w:rPr>
                        <w:rFonts w:ascii="Cambria Math" w:hAnsi="Cambria Math"/>
                        <w:lang w:eastAsia="en-GB"/>
                      </w:rPr>
                      <m:t>T</m:t>
                    </m:r>
                  </m:sup>
                </m:sSubSup>
                <m:r>
                  <m:rPr>
                    <m:sty m:val="bi"/>
                  </m:rPr>
                  <w:rPr>
                    <w:rFonts w:ascii="Cambria Math" w:hAnsi="Cambria Math"/>
                    <w:lang w:eastAsia="en-GB"/>
                  </w:rPr>
                  <m:t xml:space="preserve"> </m:t>
                </m:r>
                <m:ctrlPr>
                  <w:rPr>
                    <w:rFonts w:ascii="Cambria Math" w:hAnsi="Cambria Math"/>
                    <w:b/>
                    <w:i/>
                    <w:lang w:eastAsia="en-GB"/>
                  </w:rPr>
                </m:ctrlPr>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b/>
                        <w:i/>
                        <w:lang w:eastAsia="en-GB"/>
                      </w:rPr>
                    </m:ctrlPr>
                  </m:sSubSupPr>
                  <m:e>
                    <m:r>
                      <m:rPr>
                        <m:sty m:val="bi"/>
                      </m:rPr>
                      <w:rPr>
                        <w:rFonts w:ascii="Cambria Math" w:hAnsi="Cambria Math"/>
                        <w:lang w:eastAsia="en-GB"/>
                      </w:rPr>
                      <m:t>c</m:t>
                    </m:r>
                  </m:e>
                  <m:sub>
                    <m:r>
                      <w:rPr>
                        <w:rFonts w:ascii="Cambria Math" w:hAnsi="Cambria Math"/>
                        <w:lang w:eastAsia="en-GB"/>
                      </w:rPr>
                      <m:t>l,2L-1</m:t>
                    </m:r>
                    <m:ctrlPr>
                      <w:rPr>
                        <w:rFonts w:ascii="Cambria Math" w:hAnsi="Cambria Math"/>
                        <w:i/>
                        <w:lang w:eastAsia="en-GB"/>
                      </w:rPr>
                    </m:ctrlPr>
                  </m:sub>
                  <m:sup>
                    <m:r>
                      <w:rPr>
                        <w:rFonts w:ascii="Cambria Math" w:hAnsi="Cambria Math"/>
                        <w:lang w:eastAsia="en-GB"/>
                      </w:rPr>
                      <m:t>T</m:t>
                    </m:r>
                  </m:sup>
                </m:sSubSup>
                <m:ctrlPr>
                  <w:rPr>
                    <w:rFonts w:ascii="Cambria Math" w:hAnsi="Cambria Math"/>
                    <w:b/>
                    <w:i/>
                    <w:lang w:eastAsia="en-GB"/>
                  </w:rPr>
                </m:ctrlPr>
              </m:e>
            </m:eqArr>
          </m:e>
        </m:d>
        <m:r>
          <m:rPr>
            <m:sty m:val="bi"/>
          </m:rP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0</m:t>
                    </m:r>
                  </m:sub>
                  <m:sup>
                    <m:r>
                      <w:rPr>
                        <w:rFonts w:ascii="Cambria Math" w:hAnsi="Cambria Math"/>
                        <w:lang w:eastAsia="en-GB"/>
                      </w:rPr>
                      <m:t>T</m:t>
                    </m:r>
                  </m:sup>
                </m:sSubSup>
                <m:sSup>
                  <m:sSupPr>
                    <m:ctrlPr>
                      <w:rPr>
                        <w:rFonts w:ascii="Cambria Math" w:hAnsi="Cambria Math"/>
                        <w:i/>
                        <w:lang w:eastAsia="en-GB"/>
                      </w:rPr>
                    </m:ctrlPr>
                  </m:sSupPr>
                  <m:e>
                    <m:r>
                      <m:rPr>
                        <m:sty m:val="bi"/>
                      </m:rPr>
                      <w:rPr>
                        <w:rFonts w:ascii="Cambria Math" w:hAnsi="Cambria Math"/>
                        <w:lang w:eastAsia="en-GB"/>
                      </w:rPr>
                      <m:t>T</m:t>
                    </m:r>
                    <m:ctrlPr>
                      <w:rPr>
                        <w:rFonts w:ascii="Cambria Math" w:hAnsi="Cambria Math"/>
                        <w:b/>
                        <w:i/>
                        <w:lang w:eastAsia="en-GB"/>
                      </w:rPr>
                    </m:ctrlPr>
                  </m:e>
                  <m:sup>
                    <m:r>
                      <w:rPr>
                        <w:rFonts w:ascii="Cambria Math" w:hAnsi="Cambria Math"/>
                        <w:lang w:eastAsia="en-GB"/>
                      </w:rPr>
                      <m:t>T</m:t>
                    </m:r>
                  </m:sup>
                </m:sSup>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2L-1</m:t>
                    </m:r>
                  </m:sub>
                  <m:sup>
                    <m:r>
                      <w:rPr>
                        <w:rFonts w:ascii="Cambria Math" w:hAnsi="Cambria Math"/>
                        <w:lang w:eastAsia="en-GB"/>
                      </w:rPr>
                      <m:t>T</m:t>
                    </m:r>
                  </m:sup>
                </m:sSubSup>
                <m:sSup>
                  <m:sSupPr>
                    <m:ctrlPr>
                      <w:rPr>
                        <w:rFonts w:ascii="Cambria Math" w:hAnsi="Cambria Math"/>
                        <w:i/>
                        <w:lang w:eastAsia="en-GB"/>
                      </w:rPr>
                    </m:ctrlPr>
                  </m:sSupPr>
                  <m:e>
                    <m:r>
                      <m:rPr>
                        <m:sty m:val="bi"/>
                      </m:rPr>
                      <w:rPr>
                        <w:rFonts w:ascii="Cambria Math" w:hAnsi="Cambria Math"/>
                        <w:lang w:eastAsia="en-GB"/>
                      </w:rPr>
                      <m:t>T</m:t>
                    </m:r>
                    <m:ctrlPr>
                      <w:rPr>
                        <w:rFonts w:ascii="Cambria Math" w:hAnsi="Cambria Math"/>
                        <w:b/>
                        <w:i/>
                        <w:lang w:eastAsia="en-GB"/>
                      </w:rPr>
                    </m:ctrlPr>
                  </m:e>
                  <m:sup>
                    <m:r>
                      <w:rPr>
                        <w:rFonts w:ascii="Cambria Math" w:hAnsi="Cambria Math"/>
                        <w:lang w:eastAsia="en-GB"/>
                      </w:rPr>
                      <m:t>T</m:t>
                    </m:r>
                  </m:sup>
                </m:sSup>
              </m:e>
            </m:eqArr>
          </m:e>
        </m:d>
        <m:r>
          <w:rPr>
            <w:rFonts w:ascii="Cambria Math" w:hAnsi="Cambria Math"/>
            <w:lang w:eastAsia="en-GB"/>
          </w:rPr>
          <m:t>=</m:t>
        </m:r>
        <m:d>
          <m:dPr>
            <m:begChr m:val="["/>
            <m:endChr m:val="]"/>
            <m:ctrlPr>
              <w:rPr>
                <w:rFonts w:ascii="Cambria Math" w:hAnsi="Cambria Math"/>
                <w:i/>
                <w:lang w:eastAsia="en-GB"/>
              </w:rPr>
            </m:ctrlPr>
          </m:dPr>
          <m:e>
            <m:eqArr>
              <m:eqArrPr>
                <m:ctrlPr>
                  <w:rPr>
                    <w:rFonts w:ascii="Cambria Math" w:hAnsi="Cambria Math"/>
                    <w:i/>
                    <w:lang w:eastAsia="en-GB"/>
                  </w:rPr>
                </m:ctrlPr>
              </m:eqArrPr>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0</m:t>
                    </m:r>
                  </m:sub>
                  <m:sup>
                    <m:r>
                      <w:rPr>
                        <w:rFonts w:ascii="Cambria Math" w:hAnsi="Cambria Math"/>
                        <w:lang w:eastAsia="en-GB"/>
                      </w:rPr>
                      <m:t>T</m:t>
                    </m:r>
                  </m:sup>
                </m:sSubSup>
              </m:e>
              <m:e>
                <m:r>
                  <m:rPr>
                    <m:sty m:val="bi"/>
                  </m:rPr>
                  <w:rPr>
                    <w:rFonts w:ascii="Cambria Math" w:hAnsi="Cambria Math"/>
                    <w:lang w:eastAsia="en-GB"/>
                  </w:rPr>
                  <m:t>…</m:t>
                </m:r>
                <m:ctrlPr>
                  <w:rPr>
                    <w:rFonts w:ascii="Cambria Math" w:eastAsia="Cambria Math" w:hAnsi="Cambria Math" w:cs="Cambria Math"/>
                    <w:b/>
                    <w:i/>
                    <w:lang w:eastAsia="en-GB"/>
                  </w:rPr>
                </m:ctrlPr>
              </m:e>
              <m:e>
                <m:sSubSup>
                  <m:sSubSupPr>
                    <m:ctrlPr>
                      <w:rPr>
                        <w:rFonts w:ascii="Cambria Math" w:hAnsi="Cambria Math"/>
                        <w:i/>
                        <w:lang w:eastAsia="en-GB"/>
                      </w:rPr>
                    </m:ctrlPr>
                  </m:sSubSupPr>
                  <m:e>
                    <m:r>
                      <m:rPr>
                        <m:sty m:val="bi"/>
                      </m:rPr>
                      <w:rPr>
                        <w:rFonts w:ascii="Cambria Math" w:hAnsi="Cambria Math"/>
                        <w:lang w:eastAsia="en-GB"/>
                      </w:rPr>
                      <m:t>β</m:t>
                    </m:r>
                    <m:ctrlPr>
                      <w:rPr>
                        <w:rFonts w:ascii="Cambria Math" w:hAnsi="Cambria Math"/>
                        <w:b/>
                        <w:i/>
                        <w:lang w:eastAsia="en-GB"/>
                      </w:rPr>
                    </m:ctrlPr>
                  </m:e>
                  <m:sub>
                    <m:r>
                      <w:rPr>
                        <w:rFonts w:ascii="Cambria Math" w:hAnsi="Cambria Math"/>
                        <w:lang w:eastAsia="en-GB"/>
                      </w:rPr>
                      <m:t>2L-1</m:t>
                    </m:r>
                  </m:sub>
                  <m:sup>
                    <m:r>
                      <w:rPr>
                        <w:rFonts w:ascii="Cambria Math" w:hAnsi="Cambria Math"/>
                        <w:lang w:eastAsia="en-GB"/>
                      </w:rPr>
                      <m:t>T</m:t>
                    </m:r>
                  </m:sup>
                </m:sSubSup>
              </m:e>
            </m:eqArr>
          </m:e>
        </m:d>
        <m:sSub>
          <m:sSubPr>
            <m:ctrlPr>
              <w:rPr>
                <w:rFonts w:ascii="Cambria Math" w:hAnsi="Cambria Math"/>
                <w:i/>
                <w:lang w:eastAsia="en-GB"/>
              </w:rPr>
            </m:ctrlPr>
          </m:sSubPr>
          <m:e>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r>
              <m:rPr>
                <m:sty m:val="bi"/>
              </m:rPr>
              <w:rPr>
                <w:rFonts w:ascii="Cambria Math" w:hAnsi="Cambria Math"/>
                <w:lang w:eastAsia="en-GB"/>
              </w:rPr>
              <m:t>=</m:t>
            </m:r>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F07382">
        <w:rPr>
          <w:lang w:eastAsia="en-GB"/>
        </w:rPr>
        <w:t xml:space="preserve">. As is well known, we can also express the linear combination of beam basis vectors and beam coefficients as a matrix product. </w:t>
      </w:r>
      <w:r w:rsidR="00C77FA9">
        <w:rPr>
          <w:lang w:eastAsia="en-GB"/>
        </w:rPr>
        <w:t xml:space="preserve">This </w:t>
      </w:r>
      <w:r w:rsidR="00F07382">
        <w:rPr>
          <w:lang w:eastAsia="en-GB"/>
        </w:rPr>
        <w:t xml:space="preserve">implies that the precoders (for all resource block) for a certain layer can be expressed as a matrix product </w:t>
      </w:r>
      <m:oMath>
        <m:sSub>
          <m:sSubPr>
            <m:ctrlPr>
              <w:rPr>
                <w:rFonts w:ascii="Cambria Math" w:hAnsi="Cambria Math"/>
                <w:b/>
                <w:i/>
                <w:lang w:eastAsia="en-GB"/>
              </w:rPr>
            </m:ctrlPr>
          </m:sSubPr>
          <m:e>
            <m:r>
              <m:rPr>
                <m:sty m:val="bi"/>
              </m:rPr>
              <w:rPr>
                <w:rFonts w:ascii="Cambria Math" w:hAnsi="Cambria Math"/>
                <w:lang w:eastAsia="en-GB"/>
              </w:rPr>
              <m:t>W</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i/>
                <w:lang w:eastAsia="en-GB"/>
              </w:rPr>
            </m:ctrlPr>
          </m:sSubPr>
          <m:e>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F07382">
        <w:rPr>
          <w:b/>
          <w:lang w:eastAsia="en-GB"/>
        </w:rPr>
        <w:t xml:space="preserve">. </w:t>
      </w:r>
      <w:r w:rsidR="00F07382">
        <w:rPr>
          <w:lang w:eastAsia="en-GB"/>
        </w:rPr>
        <w:t xml:space="preserve">That </w:t>
      </w:r>
      <w:r w:rsidR="00C77FA9">
        <w:rPr>
          <w:lang w:eastAsia="en-GB"/>
        </w:rPr>
        <w:t>is,</w:t>
      </w:r>
      <w:r w:rsidR="00F07382">
        <w:rPr>
          <w:lang w:eastAsia="en-GB"/>
        </w:rPr>
        <w:t xml:space="preserve"> we apply </w:t>
      </w:r>
      <w:r w:rsidR="00955F85">
        <w:rPr>
          <w:lang w:eastAsia="en-GB"/>
        </w:rPr>
        <w:t>from the left</w:t>
      </w:r>
      <w:r w:rsidR="00F07382">
        <w:rPr>
          <w:lang w:eastAsia="en-GB"/>
        </w:rPr>
        <w:t xml:space="preserve"> a spatial linear transformation </w:t>
      </w:r>
      <w:r w:rsidR="00955F85">
        <w:rPr>
          <w:lang w:eastAsia="en-GB"/>
        </w:rPr>
        <w:t>(</w:t>
      </w:r>
      <w:r w:rsidR="00F07382">
        <w:rPr>
          <w:lang w:eastAsia="en-GB"/>
        </w:rPr>
        <w:t xml:space="preserve">from </w:t>
      </w:r>
      <w:r w:rsidR="00955F85">
        <w:rPr>
          <w:lang w:eastAsia="en-GB"/>
        </w:rPr>
        <w:t xml:space="preserve">antenna </w:t>
      </w:r>
      <w:r w:rsidR="00F07382">
        <w:rPr>
          <w:lang w:eastAsia="en-GB"/>
        </w:rPr>
        <w:t>domain to beam domain</w:t>
      </w:r>
      <w:r w:rsidR="00955F85">
        <w:rPr>
          <w:lang w:eastAsia="en-GB"/>
        </w:rPr>
        <w:t>)</w:t>
      </w:r>
      <w:r w:rsidR="00F07382">
        <w:rPr>
          <w:lang w:eastAsia="en-GB"/>
        </w:rPr>
        <w:t xml:space="preserve"> by </w:t>
      </w:r>
      <w:r w:rsidR="00955F85">
        <w:rPr>
          <w:lang w:eastAsia="en-GB"/>
        </w:rPr>
        <w:t xml:space="preserve">multiplication of </w:t>
      </w:r>
      <m:oMath>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oMath>
      <w:r w:rsidR="00955F85">
        <w:rPr>
          <w:b/>
          <w:lang w:eastAsia="en-GB"/>
        </w:rPr>
        <w:t xml:space="preserve"> </w:t>
      </w:r>
      <w:r w:rsidR="00955F85">
        <w:rPr>
          <w:lang w:eastAsia="en-GB"/>
        </w:rPr>
        <w:t>an</w:t>
      </w:r>
      <w:r w:rsidR="00C77FA9">
        <w:rPr>
          <w:lang w:eastAsia="en-GB"/>
        </w:rPr>
        <w:t>d</w:t>
      </w:r>
      <w:r w:rsidR="00955F85">
        <w:rPr>
          <w:lang w:eastAsia="en-GB"/>
        </w:rPr>
        <w:t xml:space="preserve"> from the right a frequency linear transformation by multiplication of </w:t>
      </w:r>
      <m:oMath>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oMath>
      <w:r w:rsidR="00955F85">
        <w:rPr>
          <w:b/>
          <w:lang w:eastAsia="en-GB"/>
        </w:rPr>
        <w:t xml:space="preserve">. </w:t>
      </w:r>
      <w:r w:rsidR="00955F85">
        <w:rPr>
          <w:lang w:eastAsia="en-GB"/>
        </w:rPr>
        <w:t xml:space="preserve">The precoders are then expressed more sparsely using a smaller coefficient matrix </w:t>
      </w:r>
      <m:oMath>
        <m:sSub>
          <m:sSubPr>
            <m:ctrlPr>
              <w:rPr>
                <w:rFonts w:ascii="Cambria Math" w:hAnsi="Cambria Math"/>
                <w:i/>
                <w:lang w:eastAsia="en-GB"/>
              </w:rPr>
            </m:ctrlPr>
          </m:sSubPr>
          <m:e>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oMath>
      <w:r w:rsidR="00955F85">
        <w:rPr>
          <w:lang w:eastAsia="en-GB"/>
        </w:rPr>
        <w:t xml:space="preserve"> in this transformed domain. This matrix representation is illustrated in </w:t>
      </w:r>
      <w:r w:rsidR="00955F85">
        <w:rPr>
          <w:lang w:eastAsia="en-GB"/>
        </w:rPr>
        <w:fldChar w:fldCharType="begin"/>
      </w:r>
      <w:r w:rsidR="00955F85">
        <w:rPr>
          <w:lang w:eastAsia="en-GB"/>
        </w:rPr>
        <w:instrText xml:space="preserve"> REF _Ref525840635 \h </w:instrText>
      </w:r>
      <w:r w:rsidR="00955F85">
        <w:rPr>
          <w:lang w:eastAsia="en-GB"/>
        </w:rPr>
      </w:r>
      <w:r w:rsidR="00955F85">
        <w:rPr>
          <w:lang w:eastAsia="en-GB"/>
        </w:rPr>
        <w:fldChar w:fldCharType="separate"/>
      </w:r>
      <w:r w:rsidR="000B279C">
        <w:t xml:space="preserve">Figure </w:t>
      </w:r>
      <w:r w:rsidR="000B279C">
        <w:rPr>
          <w:noProof/>
        </w:rPr>
        <w:t>2</w:t>
      </w:r>
      <w:r w:rsidR="00955F85">
        <w:rPr>
          <w:lang w:eastAsia="en-GB"/>
        </w:rPr>
        <w:fldChar w:fldCharType="end"/>
      </w:r>
      <w:r w:rsidR="00955F85">
        <w:rPr>
          <w:lang w:eastAsia="en-GB"/>
        </w:rPr>
        <w:t>.</w:t>
      </w:r>
    </w:p>
    <w:p w14:paraId="3B404854" w14:textId="6FCFC945" w:rsidR="008A7E29" w:rsidRDefault="00492EDE" w:rsidP="008A7E29">
      <w:pPr>
        <w:keepNext/>
        <w:jc w:val="center"/>
      </w:pPr>
      <w:r>
        <w:lastRenderedPageBreak/>
        <w:t xml:space="preserve"> </w:t>
      </w:r>
      <w:r w:rsidR="0032468C">
        <w:rPr>
          <w:noProof/>
        </w:rPr>
        <w:drawing>
          <wp:inline distT="0" distB="0" distL="0" distR="0" wp14:anchorId="71FAA01C" wp14:editId="29F602DE">
            <wp:extent cx="4249456" cy="44621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2653" cy="4465485"/>
                    </a:xfrm>
                    <a:prstGeom prst="rect">
                      <a:avLst/>
                    </a:prstGeom>
                    <a:noFill/>
                    <a:ln>
                      <a:noFill/>
                    </a:ln>
                  </pic:spPr>
                </pic:pic>
              </a:graphicData>
            </a:graphic>
          </wp:inline>
        </w:drawing>
      </w:r>
    </w:p>
    <w:p w14:paraId="3E97F8A5" w14:textId="77777777" w:rsidR="000B279C" w:rsidRDefault="000B279C" w:rsidP="008A7E29">
      <w:pPr>
        <w:keepNext/>
        <w:jc w:val="center"/>
      </w:pPr>
    </w:p>
    <w:p w14:paraId="206BE7A7" w14:textId="4B421108" w:rsidR="00CA1F7E" w:rsidRDefault="008A7E29" w:rsidP="008A7E29">
      <w:pPr>
        <w:pStyle w:val="Caption"/>
        <w:jc w:val="center"/>
      </w:pPr>
      <w:bookmarkStart w:id="11" w:name="_Ref525840635"/>
      <w:r>
        <w:t xml:space="preserve">Figure </w:t>
      </w:r>
      <w:r w:rsidR="00D902CC">
        <w:rPr>
          <w:noProof/>
        </w:rPr>
        <w:fldChar w:fldCharType="begin"/>
      </w:r>
      <w:r w:rsidR="00D902CC">
        <w:rPr>
          <w:noProof/>
        </w:rPr>
        <w:instrText xml:space="preserve"> SEQ Figure \* ARABIC </w:instrText>
      </w:r>
      <w:r w:rsidR="00D902CC">
        <w:rPr>
          <w:noProof/>
        </w:rPr>
        <w:fldChar w:fldCharType="separate"/>
      </w:r>
      <w:r w:rsidR="00560A81">
        <w:rPr>
          <w:noProof/>
        </w:rPr>
        <w:t>2</w:t>
      </w:r>
      <w:r w:rsidR="00D902CC">
        <w:rPr>
          <w:noProof/>
        </w:rPr>
        <w:fldChar w:fldCharType="end"/>
      </w:r>
      <w:bookmarkEnd w:id="11"/>
      <w:r>
        <w:t>: Illustration of matrix representation of linear frequency domain parametrization</w:t>
      </w:r>
    </w:p>
    <w:p w14:paraId="16F78525" w14:textId="150DD1BA" w:rsidR="00955F85" w:rsidRDefault="00955F85" w:rsidP="00955F85">
      <w:pPr>
        <w:pStyle w:val="Observation"/>
        <w:rPr>
          <w:lang w:eastAsia="en-GB"/>
        </w:rPr>
      </w:pPr>
      <w:bookmarkStart w:id="12" w:name="_Toc528944817"/>
      <w:r>
        <w:rPr>
          <w:lang w:eastAsia="en-GB"/>
        </w:rPr>
        <w:t>A space-frequency matrix representation is one possible way to visualize frequency-parametrization based on linear transformation</w:t>
      </w:r>
      <w:bookmarkEnd w:id="12"/>
    </w:p>
    <w:p w14:paraId="76CF2324" w14:textId="41CEE327" w:rsidR="00955F85" w:rsidRDefault="00955F85" w:rsidP="000B279C">
      <w:pPr>
        <w:rPr>
          <w:lang w:eastAsia="en-GB"/>
        </w:rPr>
      </w:pPr>
      <w:r>
        <w:rPr>
          <w:lang w:eastAsia="en-GB"/>
        </w:rPr>
        <w:t>However, we note that while such a matrix representation is good for illustrative purposes and to facilitate understanding, the precoders will not likely be captured that way in specification.</w:t>
      </w:r>
    </w:p>
    <w:p w14:paraId="3139B95B" w14:textId="6C21802E" w:rsidR="00BB45CB" w:rsidRDefault="00BB45CB" w:rsidP="000B279C">
      <w:pPr>
        <w:rPr>
          <w:lang w:eastAsia="en-GB"/>
        </w:rPr>
      </w:pPr>
      <w:r>
        <w:rPr>
          <w:lang w:eastAsia="en-GB"/>
        </w:rPr>
        <w:t xml:space="preserve">If we instead express the matrix </w:t>
      </w:r>
      <w:r w:rsidR="00BB3C74">
        <w:rPr>
          <w:lang w:eastAsia="en-GB"/>
        </w:rPr>
        <w:t>expression</w:t>
      </w:r>
      <w:r>
        <w:rPr>
          <w:lang w:eastAsia="en-GB"/>
        </w:rPr>
        <w:t xml:space="preserve"> as a sum, we end up with</w:t>
      </w:r>
      <w:r w:rsidR="00A61B83">
        <w:rPr>
          <w:lang w:eastAsia="en-GB"/>
        </w:rPr>
        <w:t xml:space="preserve"> something more tangible. In fact, we can even generalize the expression to let the frequency-domain basis vector</w:t>
      </w:r>
      <w:r w:rsidR="00793193">
        <w:rPr>
          <w:lang w:eastAsia="en-GB"/>
        </w:rPr>
        <w:t xml:space="preserve"> depends on the beam </w:t>
      </w:r>
      <w:r w:rsidR="003E7BC4">
        <w:rPr>
          <w:lang w:eastAsia="en-GB"/>
        </w:rPr>
        <w:t xml:space="preserve">index </w:t>
      </w:r>
      <m:oMath>
        <m:r>
          <w:rPr>
            <w:rFonts w:ascii="Cambria Math" w:hAnsi="Cambria Math"/>
            <w:lang w:eastAsia="en-GB"/>
          </w:rPr>
          <m:t>i</m:t>
        </m:r>
      </m:oMath>
      <w:r w:rsidR="003E7BC4">
        <w:rPr>
          <w:lang w:eastAsia="en-GB"/>
        </w:rPr>
        <w:t>:</w:t>
      </w:r>
    </w:p>
    <w:p w14:paraId="38ED244A" w14:textId="57C80654" w:rsidR="00BB3C74" w:rsidRPr="00BB3C74" w:rsidRDefault="00800F08" w:rsidP="00BB45CB">
      <w:pPr>
        <w:jc w:val="center"/>
        <w:rPr>
          <w:lang w:eastAsia="en-GB"/>
        </w:rPr>
      </w:pPr>
      <m:oMathPara>
        <m:oMath>
          <m:sSub>
            <m:sSubPr>
              <m:ctrlPr>
                <w:rPr>
                  <w:rFonts w:ascii="Cambria Math" w:hAnsi="Cambria Math"/>
                  <w:b/>
                  <w:i/>
                  <w:lang w:eastAsia="en-GB"/>
                </w:rPr>
              </m:ctrlPr>
            </m:sSubPr>
            <m:e>
              <m:r>
                <m:rPr>
                  <m:sty m:val="bi"/>
                </m:rPr>
                <w:rPr>
                  <w:rFonts w:ascii="Cambria Math" w:hAnsi="Cambria Math"/>
                  <w:lang w:eastAsia="en-GB"/>
                </w:rPr>
                <m:t>W</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b/>
                  <w:i/>
                  <w:lang w:eastAsia="en-GB"/>
                </w:rPr>
              </m:ctrlPr>
            </m:sSubPr>
            <m:e>
              <m:r>
                <m:rPr>
                  <m:sty m:val="bi"/>
                </m:rPr>
                <w:rPr>
                  <w:rFonts w:ascii="Cambria Math" w:hAnsi="Cambria Math"/>
                  <w:lang w:eastAsia="en-GB"/>
                </w:rPr>
                <m:t>C</m:t>
              </m:r>
            </m:e>
            <m:sub>
              <m:r>
                <w:rPr>
                  <w:rFonts w:ascii="Cambria Math" w:hAnsi="Cambria Math"/>
                  <w:lang w:eastAsia="en-GB"/>
                </w:rPr>
                <m:t>F</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W</m:t>
              </m:r>
            </m:e>
            <m:sub>
              <m:r>
                <m:rPr>
                  <m:sty m:val="bi"/>
                </m:rPr>
                <w:rPr>
                  <w:rFonts w:ascii="Cambria Math" w:hAnsi="Cambria Math"/>
                  <w:lang w:eastAsia="en-GB"/>
                </w:rPr>
                <m:t>1</m:t>
              </m:r>
            </m:sub>
          </m:sSub>
          <m:sSub>
            <m:sSubPr>
              <m:ctrlPr>
                <w:rPr>
                  <w:rFonts w:ascii="Cambria Math" w:hAnsi="Cambria Math"/>
                  <w:i/>
                  <w:lang w:eastAsia="en-GB"/>
                </w:rPr>
              </m:ctrlPr>
            </m:sSubPr>
            <m:e>
              <m:acc>
                <m:accPr>
                  <m:chr m:val="̃"/>
                  <m:ctrlPr>
                    <w:rPr>
                      <w:rFonts w:ascii="Cambria Math" w:hAnsi="Cambria Math"/>
                      <w:b/>
                      <w:i/>
                      <w:lang w:eastAsia="en-GB"/>
                    </w:rPr>
                  </m:ctrlPr>
                </m:accPr>
                <m:e>
                  <m:r>
                    <m:rPr>
                      <m:sty m:val="bi"/>
                    </m:rPr>
                    <w:rPr>
                      <w:rFonts w:ascii="Cambria Math" w:hAnsi="Cambria Math"/>
                      <w:lang w:eastAsia="en-GB"/>
                    </w:rPr>
                    <m:t>C</m:t>
                  </m:r>
                  <m:ctrlPr>
                    <w:rPr>
                      <w:rFonts w:ascii="Cambria Math" w:hAnsi="Cambria Math"/>
                      <w:i/>
                      <w:lang w:eastAsia="en-GB"/>
                    </w:rPr>
                  </m:ctrlPr>
                </m:e>
              </m:acc>
            </m:e>
            <m:sub>
              <m:r>
                <w:rPr>
                  <w:rFonts w:ascii="Cambria Math" w:hAnsi="Cambria Math"/>
                  <w:lang w:eastAsia="en-GB"/>
                </w:rPr>
                <m:t>F</m:t>
              </m:r>
            </m:sub>
          </m:sSub>
          <m:sSup>
            <m:sSupPr>
              <m:ctrlPr>
                <w:rPr>
                  <w:rFonts w:ascii="Cambria Math" w:hAnsi="Cambria Math"/>
                  <w:b/>
                  <w:i/>
                  <w:lang w:eastAsia="en-GB"/>
                </w:rPr>
              </m:ctrlPr>
            </m:sSupPr>
            <m:e>
              <m:r>
                <m:rPr>
                  <m:sty m:val="bi"/>
                </m:rPr>
                <w:rPr>
                  <w:rFonts w:ascii="Cambria Math" w:hAnsi="Cambria Math"/>
                  <w:lang w:eastAsia="en-GB"/>
                </w:rPr>
                <m:t>T</m:t>
              </m:r>
            </m:e>
            <m:sup>
              <m:r>
                <w:rPr>
                  <w:rFonts w:ascii="Cambria Math" w:hAnsi="Cambria Math"/>
                  <w:lang w:eastAsia="en-GB"/>
                </w:rPr>
                <m:t>T</m:t>
              </m:r>
            </m:sup>
          </m:sSup>
          <m:r>
            <m:rPr>
              <m:sty m:val="bi"/>
            </m:rPr>
            <w:rPr>
              <w:rFonts w:ascii="Cambria Math" w:hAnsi="Cambria Math"/>
              <w:lang w:eastAsia="en-GB"/>
            </w:rPr>
            <m:t>=</m:t>
          </m:r>
          <m:d>
            <m:dPr>
              <m:begChr m:val="["/>
              <m:endChr m:val="]"/>
              <m:ctrlPr>
                <w:rPr>
                  <w:rFonts w:ascii="Cambria Math" w:hAnsi="Cambria Math"/>
                  <w:b/>
                  <w:i/>
                  <w:lang w:eastAsia="en-GB"/>
                </w:rPr>
              </m:ctrlPr>
            </m:dPr>
            <m:e>
              <m:eqArr>
                <m:eqArrPr>
                  <m:ctrlPr>
                    <w:rPr>
                      <w:rFonts w:ascii="Cambria Math" w:hAnsi="Cambria Math"/>
                      <w:b/>
                      <w:i/>
                      <w:lang w:eastAsia="en-GB"/>
                    </w:rPr>
                  </m:ctrlPr>
                </m:eqArrPr>
                <m:e>
                  <m:nary>
                    <m:naryPr>
                      <m:chr m:val="∑"/>
                      <m:limLoc m:val="undOvr"/>
                      <m:ctrlPr>
                        <w:rPr>
                          <w:rFonts w:ascii="Cambria Math" w:hAnsi="Cambria Math"/>
                          <w:i/>
                          <w:lang w:eastAsia="en-GB"/>
                        </w:rPr>
                      </m:ctrlPr>
                    </m:naryPr>
                    <m:sub>
                      <m:r>
                        <w:rPr>
                          <w:rFonts w:ascii="Cambria Math" w:hAnsi="Cambria Math"/>
                          <w:lang w:eastAsia="en-GB"/>
                        </w:rPr>
                        <m:t>i=0</m:t>
                      </m:r>
                    </m:sub>
                    <m:sup>
                      <m:r>
                        <w:rPr>
                          <w:rFonts w:ascii="Cambria Math" w:hAnsi="Cambria Math"/>
                          <w:lang w:eastAsia="en-GB"/>
                        </w:rPr>
                        <m:t>L-1</m:t>
                      </m:r>
                    </m:sup>
                    <m:e>
                      <m:sSub>
                        <m:sSubPr>
                          <m:ctrlPr>
                            <w:rPr>
                              <w:rFonts w:ascii="Cambria Math" w:hAnsi="Cambria Math"/>
                              <w:i/>
                              <w:lang w:eastAsia="en-GB"/>
                            </w:rPr>
                          </m:ctrlPr>
                        </m:sSubPr>
                        <m:e>
                          <m:r>
                            <m:rPr>
                              <m:sty m:val="bi"/>
                            </m:rPr>
                            <w:rPr>
                              <w:rFonts w:ascii="Cambria Math" w:hAnsi="Cambria Math"/>
                              <w:lang w:eastAsia="en-GB"/>
                            </w:rPr>
                            <m:t>v</m:t>
                          </m:r>
                          <m:ctrlPr>
                            <w:rPr>
                              <w:rFonts w:ascii="Cambria Math" w:hAnsi="Cambria Math"/>
                              <w:b/>
                              <w:i/>
                              <w:lang w:eastAsia="en-GB"/>
                            </w:rPr>
                          </m:ctrlPr>
                        </m:e>
                        <m:sub>
                          <m:r>
                            <w:rPr>
                              <w:rFonts w:ascii="Cambria Math" w:hAnsi="Cambria Math"/>
                              <w:lang w:eastAsia="en-GB"/>
                            </w:rPr>
                            <m:t>i</m:t>
                          </m:r>
                        </m:sub>
                      </m:sSub>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l,i</m:t>
                          </m:r>
                        </m:sub>
                        <m:sup>
                          <m:d>
                            <m:dPr>
                              <m:ctrlPr>
                                <w:rPr>
                                  <w:rFonts w:ascii="Cambria Math" w:hAnsi="Cambria Math"/>
                                  <w:i/>
                                  <w:lang w:eastAsia="en-GB"/>
                                </w:rPr>
                              </m:ctrlPr>
                            </m:dPr>
                            <m:e>
                              <m:r>
                                <w:rPr>
                                  <w:rFonts w:ascii="Cambria Math" w:hAnsi="Cambria Math"/>
                                  <w:lang w:eastAsia="en-GB"/>
                                </w:rPr>
                                <m:t>1</m:t>
                              </m:r>
                            </m:e>
                          </m:d>
                        </m:sup>
                      </m:sSubSup>
                      <m:nary>
                        <m:naryPr>
                          <m:chr m:val="∑"/>
                          <m:limLoc m:val="undOvr"/>
                          <m:ctrlPr>
                            <w:rPr>
                              <w:rFonts w:ascii="Cambria Math" w:hAnsi="Cambria Math"/>
                              <w:i/>
                              <w:lang w:eastAsia="en-GB"/>
                            </w:rPr>
                          </m:ctrlPr>
                        </m:naryPr>
                        <m:sub>
                          <m:r>
                            <w:rPr>
                              <w:rFonts w:ascii="Cambria Math" w:hAnsi="Cambria Math"/>
                              <w:lang w:eastAsia="en-GB"/>
                            </w:rPr>
                            <m:t>m=0</m:t>
                          </m:r>
                        </m:sub>
                        <m:sup>
                          <m:r>
                            <w:rPr>
                              <w:rFonts w:ascii="Cambria Math" w:hAnsi="Cambria Math"/>
                              <w:lang w:eastAsia="en-GB"/>
                            </w:rPr>
                            <m:t>M-1</m:t>
                          </m:r>
                        </m:sup>
                        <m:e>
                          <m:sSubSup>
                            <m:sSubSupPr>
                              <m:ctrlPr>
                                <w:rPr>
                                  <w:rFonts w:ascii="Cambria Math" w:hAnsi="Cambria Math"/>
                                  <w:i/>
                                  <w:lang w:eastAsia="en-GB"/>
                                </w:rPr>
                              </m:ctrlPr>
                            </m:sSubSupPr>
                            <m:e>
                              <m:r>
                                <m:rPr>
                                  <m:sty m:val="bi"/>
                                </m:rPr>
                                <w:rPr>
                                  <w:rFonts w:ascii="Cambria Math" w:hAnsi="Cambria Math"/>
                                  <w:lang w:eastAsia="en-GB"/>
                                </w:rPr>
                                <m:t>t</m:t>
                              </m:r>
                              <m:ctrlPr>
                                <w:rPr>
                                  <w:rFonts w:ascii="Cambria Math" w:hAnsi="Cambria Math"/>
                                  <w:b/>
                                  <w:i/>
                                  <w:lang w:eastAsia="en-GB"/>
                                </w:rPr>
                              </m:ctrlPr>
                            </m:e>
                            <m:sub>
                              <m:r>
                                <w:rPr>
                                  <w:rFonts w:ascii="Cambria Math" w:hAnsi="Cambria Math"/>
                                  <w:lang w:eastAsia="en-GB"/>
                                </w:rPr>
                                <m:t xml:space="preserve">m,i </m:t>
                              </m:r>
                            </m:sub>
                            <m:sup>
                              <m:r>
                                <w:rPr>
                                  <w:rFonts w:ascii="Cambria Math" w:hAnsi="Cambria Math"/>
                                  <w:lang w:eastAsia="en-GB"/>
                                </w:rPr>
                                <m:t>T</m:t>
                              </m:r>
                            </m:sup>
                          </m:sSubSup>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m</m:t>
                              </m:r>
                            </m:sub>
                          </m:sSub>
                        </m:e>
                      </m:nary>
                    </m:e>
                  </m:nary>
                </m:e>
                <m:e>
                  <m:nary>
                    <m:naryPr>
                      <m:chr m:val="∑"/>
                      <m:limLoc m:val="undOvr"/>
                      <m:ctrlPr>
                        <w:rPr>
                          <w:rFonts w:ascii="Cambria Math" w:hAnsi="Cambria Math"/>
                          <w:i/>
                          <w:lang w:eastAsia="en-GB"/>
                        </w:rPr>
                      </m:ctrlPr>
                    </m:naryPr>
                    <m:sub>
                      <m:r>
                        <w:rPr>
                          <w:rFonts w:ascii="Cambria Math" w:hAnsi="Cambria Math"/>
                          <w:lang w:eastAsia="en-GB"/>
                        </w:rPr>
                        <m:t>i=0</m:t>
                      </m:r>
                    </m:sub>
                    <m:sup>
                      <m:r>
                        <w:rPr>
                          <w:rFonts w:ascii="Cambria Math" w:hAnsi="Cambria Math"/>
                          <w:lang w:eastAsia="en-GB"/>
                        </w:rPr>
                        <m:t>L-1</m:t>
                      </m:r>
                    </m:sup>
                    <m:e>
                      <m:sSub>
                        <m:sSubPr>
                          <m:ctrlPr>
                            <w:rPr>
                              <w:rFonts w:ascii="Cambria Math" w:hAnsi="Cambria Math"/>
                              <w:i/>
                              <w:lang w:eastAsia="en-GB"/>
                            </w:rPr>
                          </m:ctrlPr>
                        </m:sSubPr>
                        <m:e>
                          <m:r>
                            <m:rPr>
                              <m:sty m:val="bi"/>
                            </m:rPr>
                            <w:rPr>
                              <w:rFonts w:ascii="Cambria Math" w:hAnsi="Cambria Math"/>
                              <w:lang w:eastAsia="en-GB"/>
                            </w:rPr>
                            <m:t>v</m:t>
                          </m:r>
                          <m:ctrlPr>
                            <w:rPr>
                              <w:rFonts w:ascii="Cambria Math" w:hAnsi="Cambria Math"/>
                              <w:b/>
                              <w:i/>
                              <w:lang w:eastAsia="en-GB"/>
                            </w:rPr>
                          </m:ctrlPr>
                        </m:e>
                        <m:sub>
                          <m:r>
                            <w:rPr>
                              <w:rFonts w:ascii="Cambria Math" w:hAnsi="Cambria Math"/>
                              <w:lang w:eastAsia="en-GB"/>
                            </w:rPr>
                            <m:t>i</m:t>
                          </m:r>
                        </m:sub>
                      </m:sSub>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l,L+1</m:t>
                          </m:r>
                        </m:sub>
                        <m:sup>
                          <m:d>
                            <m:dPr>
                              <m:ctrlPr>
                                <w:rPr>
                                  <w:rFonts w:ascii="Cambria Math" w:hAnsi="Cambria Math"/>
                                  <w:i/>
                                  <w:lang w:eastAsia="en-GB"/>
                                </w:rPr>
                              </m:ctrlPr>
                            </m:dPr>
                            <m:e>
                              <m:r>
                                <w:rPr>
                                  <w:rFonts w:ascii="Cambria Math" w:hAnsi="Cambria Math"/>
                                  <w:lang w:eastAsia="en-GB"/>
                                </w:rPr>
                                <m:t>1</m:t>
                              </m:r>
                            </m:e>
                          </m:d>
                        </m:sup>
                      </m:sSubSup>
                      <m:nary>
                        <m:naryPr>
                          <m:chr m:val="∑"/>
                          <m:limLoc m:val="undOvr"/>
                          <m:ctrlPr>
                            <w:rPr>
                              <w:rFonts w:ascii="Cambria Math" w:hAnsi="Cambria Math"/>
                              <w:i/>
                              <w:lang w:eastAsia="en-GB"/>
                            </w:rPr>
                          </m:ctrlPr>
                        </m:naryPr>
                        <m:sub>
                          <m:r>
                            <w:rPr>
                              <w:rFonts w:ascii="Cambria Math" w:hAnsi="Cambria Math"/>
                              <w:lang w:eastAsia="en-GB"/>
                            </w:rPr>
                            <m:t>m=0</m:t>
                          </m:r>
                        </m:sub>
                        <m:sup>
                          <m:r>
                            <w:rPr>
                              <w:rFonts w:ascii="Cambria Math" w:hAnsi="Cambria Math"/>
                              <w:lang w:eastAsia="en-GB"/>
                            </w:rPr>
                            <m:t>M-1</m:t>
                          </m:r>
                        </m:sup>
                        <m:e>
                          <m:sSubSup>
                            <m:sSubSupPr>
                              <m:ctrlPr>
                                <w:rPr>
                                  <w:rFonts w:ascii="Cambria Math" w:hAnsi="Cambria Math"/>
                                  <w:i/>
                                  <w:lang w:eastAsia="en-GB"/>
                                </w:rPr>
                              </m:ctrlPr>
                            </m:sSubSupPr>
                            <m:e>
                              <m:r>
                                <m:rPr>
                                  <m:sty m:val="bi"/>
                                </m:rPr>
                                <w:rPr>
                                  <w:rFonts w:ascii="Cambria Math" w:hAnsi="Cambria Math"/>
                                  <w:lang w:eastAsia="en-GB"/>
                                </w:rPr>
                                <m:t>t</m:t>
                              </m:r>
                              <m:ctrlPr>
                                <w:rPr>
                                  <w:rFonts w:ascii="Cambria Math" w:hAnsi="Cambria Math"/>
                                  <w:b/>
                                  <w:i/>
                                  <w:lang w:eastAsia="en-GB"/>
                                </w:rPr>
                              </m:ctrlPr>
                            </m:e>
                            <m:sub>
                              <m:r>
                                <w:rPr>
                                  <w:rFonts w:ascii="Cambria Math" w:hAnsi="Cambria Math"/>
                                  <w:lang w:eastAsia="en-GB"/>
                                </w:rPr>
                                <m:t xml:space="preserve">m,L+1 </m:t>
                              </m:r>
                            </m:sub>
                            <m:sup>
                              <m:r>
                                <w:rPr>
                                  <w:rFonts w:ascii="Cambria Math" w:hAnsi="Cambria Math"/>
                                  <w:lang w:eastAsia="en-GB"/>
                                </w:rPr>
                                <m:t>T</m:t>
                              </m:r>
                            </m:sup>
                          </m:sSubSup>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L+m</m:t>
                              </m:r>
                            </m:sub>
                          </m:sSub>
                        </m:e>
                      </m:nary>
                    </m:e>
                  </m:nary>
                </m:e>
              </m:eqArr>
            </m:e>
          </m:d>
        </m:oMath>
      </m:oMathPara>
    </w:p>
    <w:p w14:paraId="28CE2E75" w14:textId="1FE6317F" w:rsidR="00BB3C74" w:rsidRDefault="00265D6C" w:rsidP="00265D6C">
      <w:pPr>
        <w:pStyle w:val="Proposal"/>
      </w:pPr>
      <w:bookmarkStart w:id="13" w:name="_Toc528944806"/>
      <w:r>
        <w:t>Consider the</w:t>
      </w:r>
      <w:r w:rsidR="00057F64">
        <w:t xml:space="preserve"> above formulation as a generic structure for enhanced Type II codebook</w:t>
      </w:r>
      <w:bookmarkEnd w:id="13"/>
    </w:p>
    <w:p w14:paraId="43B2D719" w14:textId="6DD3D58B" w:rsidR="00203D06" w:rsidRDefault="002C6A9F" w:rsidP="00CC7AC2">
      <w:pPr>
        <w:pStyle w:val="Heading1"/>
        <w:rPr>
          <w:lang w:eastAsia="en-GB"/>
        </w:rPr>
      </w:pPr>
      <w:r>
        <w:rPr>
          <w:lang w:eastAsia="en-GB"/>
        </w:rPr>
        <w:t>5</w:t>
      </w:r>
      <w:r>
        <w:rPr>
          <w:lang w:eastAsia="en-GB"/>
        </w:rPr>
        <w:tab/>
        <w:t xml:space="preserve">Detailed </w:t>
      </w:r>
      <w:r w:rsidR="00CE2DEC">
        <w:rPr>
          <w:lang w:eastAsia="en-GB"/>
        </w:rPr>
        <w:t xml:space="preserve">Type II overhead reduction </w:t>
      </w:r>
      <w:r>
        <w:rPr>
          <w:lang w:eastAsia="en-GB"/>
        </w:rPr>
        <w:t>proposal</w:t>
      </w:r>
    </w:p>
    <w:p w14:paraId="285E98EF" w14:textId="4DD1DEFA" w:rsidR="002C6A9F" w:rsidRDefault="002C6A9F" w:rsidP="002C6A9F">
      <w:pPr>
        <w:rPr>
          <w:lang w:eastAsia="en-GB"/>
        </w:rPr>
      </w:pPr>
      <w:r>
        <w:rPr>
          <w:lang w:eastAsia="en-GB"/>
        </w:rPr>
        <w:t>Given the</w:t>
      </w:r>
      <w:r w:rsidR="006E49D7">
        <w:rPr>
          <w:lang w:eastAsia="en-GB"/>
        </w:rPr>
        <w:t xml:space="preserve"> generic </w:t>
      </w:r>
      <w:r w:rsidR="00A46B93">
        <w:rPr>
          <w:lang w:eastAsia="en-GB"/>
        </w:rPr>
        <w:t xml:space="preserve">precoder </w:t>
      </w:r>
      <w:r w:rsidR="006E49D7">
        <w:rPr>
          <w:lang w:eastAsia="en-GB"/>
        </w:rPr>
        <w:t>formulation</w:t>
      </w:r>
      <w:r w:rsidR="00A46B93">
        <w:rPr>
          <w:lang w:eastAsia="en-GB"/>
        </w:rPr>
        <w:t xml:space="preserve"> in the previous section</w:t>
      </w:r>
      <w:r w:rsidR="006E49D7">
        <w:rPr>
          <w:lang w:eastAsia="en-GB"/>
        </w:rPr>
        <w:t>, we</w:t>
      </w:r>
      <w:r w:rsidR="00424C12">
        <w:rPr>
          <w:lang w:eastAsia="en-GB"/>
        </w:rPr>
        <w:t xml:space="preserve"> can consider multiple study points:</w:t>
      </w:r>
    </w:p>
    <w:p w14:paraId="39661414" w14:textId="16D30783" w:rsidR="00424C12" w:rsidRPr="00AC6BAD" w:rsidRDefault="00AC6BAD" w:rsidP="00F13311">
      <w:pPr>
        <w:pStyle w:val="ListParagraph"/>
        <w:numPr>
          <w:ilvl w:val="0"/>
          <w:numId w:val="28"/>
        </w:numPr>
        <w:rPr>
          <w:lang w:eastAsia="en-GB"/>
        </w:rPr>
      </w:pPr>
      <w:r>
        <w:rPr>
          <w:lang w:val="sv-SE" w:eastAsia="en-GB"/>
        </w:rPr>
        <w:t xml:space="preserve">Spatial </w:t>
      </w:r>
      <w:proofErr w:type="spellStart"/>
      <w:r>
        <w:rPr>
          <w:lang w:val="sv-SE" w:eastAsia="en-GB"/>
        </w:rPr>
        <w:t>domain</w:t>
      </w:r>
      <w:proofErr w:type="spellEnd"/>
      <w:r>
        <w:rPr>
          <w:lang w:val="sv-SE" w:eastAsia="en-GB"/>
        </w:rPr>
        <w:t xml:space="preserve"> basis:</w:t>
      </w:r>
    </w:p>
    <w:p w14:paraId="38D3EAC8" w14:textId="055A3EFB" w:rsidR="00AC6BAD" w:rsidRPr="00AC6BAD" w:rsidRDefault="00AC6BAD" w:rsidP="00F13311">
      <w:pPr>
        <w:pStyle w:val="ListParagraph"/>
        <w:numPr>
          <w:ilvl w:val="1"/>
          <w:numId w:val="28"/>
        </w:numPr>
        <w:rPr>
          <w:lang w:eastAsia="en-GB"/>
        </w:rPr>
      </w:pPr>
      <w:r>
        <w:rPr>
          <w:lang w:val="en-US" w:eastAsia="en-GB"/>
        </w:rPr>
        <w:t xml:space="preserve">What is the structure of </w:t>
      </w:r>
      <m:oMath>
        <m:d>
          <m:dPr>
            <m:begChr m:val="{"/>
            <m:endChr m:val="}"/>
            <m:ctrlPr>
              <w:rPr>
                <w:rFonts w:ascii="Cambria Math" w:hAnsi="Cambria Math"/>
                <w:b/>
                <w:i/>
                <w:iCs/>
                <w:lang w:val="en-GB" w:eastAsia="en-GB"/>
              </w:rPr>
            </m:ctrlPr>
          </m:dPr>
          <m:e>
            <m:sSub>
              <m:sSubPr>
                <m:ctrlPr>
                  <w:rPr>
                    <w:rFonts w:ascii="Cambria Math" w:hAnsi="Cambria Math"/>
                    <w:b/>
                    <w:i/>
                    <w:iCs/>
                    <w:lang w:val="en-GB" w:eastAsia="en-GB"/>
                  </w:rPr>
                </m:ctrlPr>
              </m:sSubPr>
              <m:e>
                <m:r>
                  <m:rPr>
                    <m:sty m:val="bi"/>
                  </m:rPr>
                  <w:rPr>
                    <w:rFonts w:ascii="Cambria Math" w:hAnsi="Cambria Math"/>
                    <w:lang w:val="sv-SE" w:eastAsia="en-GB"/>
                  </w:rPr>
                  <m:t>v</m:t>
                </m:r>
              </m:e>
              <m:sub>
                <m:r>
                  <m:rPr>
                    <m:sty m:val="bi"/>
                  </m:rPr>
                  <w:rPr>
                    <w:rFonts w:ascii="Cambria Math" w:hAnsi="Cambria Math"/>
                    <w:lang w:val="en-GB" w:eastAsia="en-GB"/>
                  </w:rPr>
                  <m:t>i</m:t>
                </m:r>
              </m:sub>
            </m:sSub>
          </m:e>
        </m:d>
      </m:oMath>
      <w:r>
        <w:rPr>
          <w:b/>
          <w:iCs/>
          <w:lang w:val="en-GB" w:eastAsia="en-GB"/>
        </w:rPr>
        <w:t xml:space="preserve"> </w:t>
      </w:r>
      <w:r w:rsidRPr="00AC6BAD">
        <w:rPr>
          <w:iCs/>
          <w:lang w:val="en-GB" w:eastAsia="en-GB"/>
        </w:rPr>
        <w:t>?</w:t>
      </w:r>
    </w:p>
    <w:p w14:paraId="722EE485" w14:textId="57C40292" w:rsidR="00AC6BAD" w:rsidRPr="00AC6BAD" w:rsidRDefault="00B149C3" w:rsidP="00F13311">
      <w:pPr>
        <w:pStyle w:val="ListParagraph"/>
        <w:numPr>
          <w:ilvl w:val="0"/>
          <w:numId w:val="28"/>
        </w:numPr>
        <w:rPr>
          <w:lang w:eastAsia="en-GB"/>
        </w:rPr>
      </w:pPr>
      <w:proofErr w:type="spellStart"/>
      <w:r>
        <w:rPr>
          <w:lang w:val="sv-SE" w:eastAsia="en-GB"/>
        </w:rPr>
        <w:t>Frequency</w:t>
      </w:r>
      <w:r w:rsidR="00AC6BAD">
        <w:rPr>
          <w:lang w:val="sv-SE" w:eastAsia="en-GB"/>
        </w:rPr>
        <w:t>-domain</w:t>
      </w:r>
      <w:proofErr w:type="spellEnd"/>
      <w:r w:rsidR="00AC6BAD">
        <w:rPr>
          <w:lang w:val="sv-SE" w:eastAsia="en-GB"/>
        </w:rPr>
        <w:t xml:space="preserve"> basis:</w:t>
      </w:r>
    </w:p>
    <w:p w14:paraId="40FACB8E" w14:textId="65577D2E" w:rsidR="00AC6BAD" w:rsidRPr="00B149C3" w:rsidRDefault="00AC6BAD" w:rsidP="00F13311">
      <w:pPr>
        <w:pStyle w:val="ListParagraph"/>
        <w:numPr>
          <w:ilvl w:val="1"/>
          <w:numId w:val="28"/>
        </w:numPr>
        <w:rPr>
          <w:lang w:eastAsia="en-GB"/>
        </w:rPr>
      </w:pPr>
      <w:r w:rsidRPr="00AC6BAD">
        <w:rPr>
          <w:lang w:val="en-US" w:eastAsia="en-GB"/>
        </w:rPr>
        <w:lastRenderedPageBreak/>
        <w:t>What is the structure of</w:t>
      </w:r>
      <m:oMath>
        <m:r>
          <w:rPr>
            <w:rFonts w:ascii="Cambria Math" w:hAnsi="Cambria Math"/>
            <w:lang w:val="en-US" w:eastAsia="en-GB"/>
          </w:rPr>
          <m:t xml:space="preserve"> </m:t>
        </m:r>
        <m:d>
          <m:dPr>
            <m:begChr m:val="{"/>
            <m:endChr m:val="}"/>
            <m:ctrlPr>
              <w:rPr>
                <w:rFonts w:ascii="Cambria Math" w:hAnsi="Cambria Math"/>
                <w:b/>
                <w:i/>
                <w:iCs/>
                <w:lang w:val="en-GB" w:eastAsia="en-GB"/>
              </w:rPr>
            </m:ctrlPr>
          </m:dPr>
          <m:e>
            <m:sSub>
              <m:sSubPr>
                <m:ctrlPr>
                  <w:rPr>
                    <w:rFonts w:ascii="Cambria Math" w:hAnsi="Cambria Math"/>
                    <w:b/>
                    <w:i/>
                    <w:iCs/>
                    <w:lang w:val="en-GB" w:eastAsia="en-GB"/>
                  </w:rPr>
                </m:ctrlPr>
              </m:sSubPr>
              <m:e>
                <m:r>
                  <m:rPr>
                    <m:sty m:val="bi"/>
                  </m:rPr>
                  <w:rPr>
                    <w:rFonts w:ascii="Cambria Math" w:hAnsi="Cambria Math"/>
                    <w:lang w:val="sv-SE" w:eastAsia="en-GB"/>
                  </w:rPr>
                  <m:t>t</m:t>
                </m:r>
              </m:e>
              <m:sub>
                <m:r>
                  <m:rPr>
                    <m:sty m:val="bi"/>
                  </m:rPr>
                  <w:rPr>
                    <w:rFonts w:ascii="Cambria Math" w:hAnsi="Cambria Math"/>
                    <w:lang w:val="en-GB" w:eastAsia="en-GB"/>
                  </w:rPr>
                  <m:t>m,i</m:t>
                </m:r>
              </m:sub>
            </m:sSub>
          </m:e>
        </m:d>
      </m:oMath>
      <w:r w:rsidR="00B149C3">
        <w:rPr>
          <w:b/>
          <w:iCs/>
          <w:lang w:val="en-GB" w:eastAsia="en-GB"/>
        </w:rPr>
        <w:t>?</w:t>
      </w:r>
    </w:p>
    <w:p w14:paraId="797081FD" w14:textId="4F1C941F" w:rsidR="00B149C3" w:rsidRPr="00F13311" w:rsidRDefault="00B149C3" w:rsidP="00F13311">
      <w:pPr>
        <w:pStyle w:val="ListParagraph"/>
        <w:numPr>
          <w:ilvl w:val="1"/>
          <w:numId w:val="28"/>
        </w:numPr>
        <w:rPr>
          <w:lang w:eastAsia="en-GB"/>
        </w:rPr>
      </w:pPr>
      <w:r w:rsidRPr="00B149C3">
        <w:rPr>
          <w:lang w:val="en-US" w:eastAsia="en-GB"/>
        </w:rPr>
        <w:t>What is the dimension o</w:t>
      </w:r>
      <w:r>
        <w:rPr>
          <w:lang w:val="en-US" w:eastAsia="en-GB"/>
        </w:rPr>
        <w:t xml:space="preserve">f </w:t>
      </w:r>
      <m:oMath>
        <m:sSub>
          <m:sSubPr>
            <m:ctrlPr>
              <w:rPr>
                <w:rFonts w:ascii="Cambria Math" w:hAnsi="Cambria Math"/>
                <w:b/>
                <w:i/>
                <w:iCs/>
                <w:lang w:val="en-GB" w:eastAsia="en-GB"/>
              </w:rPr>
            </m:ctrlPr>
          </m:sSubPr>
          <m:e>
            <m:r>
              <m:rPr>
                <m:sty m:val="bi"/>
              </m:rPr>
              <w:rPr>
                <w:rFonts w:ascii="Cambria Math" w:hAnsi="Cambria Math"/>
                <w:lang w:val="sv-SE" w:eastAsia="en-GB"/>
              </w:rPr>
              <m:t>t</m:t>
            </m:r>
          </m:e>
          <m:sub>
            <m:r>
              <m:rPr>
                <m:sty m:val="bi"/>
              </m:rPr>
              <w:rPr>
                <w:rFonts w:ascii="Cambria Math" w:hAnsi="Cambria Math"/>
                <w:lang w:val="en-GB" w:eastAsia="en-GB"/>
              </w:rPr>
              <m:t>m,i</m:t>
            </m:r>
          </m:sub>
        </m:sSub>
      </m:oMath>
      <w:r w:rsidR="00A46B93">
        <w:rPr>
          <w:iCs/>
          <w:lang w:val="en-GB" w:eastAsia="en-GB"/>
        </w:rPr>
        <w:t xml:space="preserve"> vectors?</w:t>
      </w:r>
    </w:p>
    <w:p w14:paraId="7DC76ADA" w14:textId="1BDCAFD5" w:rsidR="00F13311" w:rsidRPr="00F31E39" w:rsidRDefault="00F13311" w:rsidP="00F13311">
      <w:pPr>
        <w:pStyle w:val="ListParagraph"/>
        <w:numPr>
          <w:ilvl w:val="1"/>
          <w:numId w:val="28"/>
        </w:numPr>
        <w:rPr>
          <w:lang w:eastAsia="en-GB"/>
        </w:rPr>
      </w:pPr>
      <w:r w:rsidRPr="00F13311">
        <w:rPr>
          <w:lang w:val="en-US" w:eastAsia="en-GB"/>
        </w:rPr>
        <w:t xml:space="preserve">How </w:t>
      </w:r>
      <w:r w:rsidR="00F31E39">
        <w:rPr>
          <w:lang w:val="en-US" w:eastAsia="en-GB"/>
        </w:rPr>
        <w:t>are</w:t>
      </w:r>
      <w:r w:rsidRPr="00F13311">
        <w:rPr>
          <w:lang w:val="en-US" w:eastAsia="en-GB"/>
        </w:rPr>
        <w:t xml:space="preserve"> </w:t>
      </w:r>
      <w:r>
        <w:rPr>
          <w:lang w:val="en-US" w:eastAsia="en-GB"/>
        </w:rPr>
        <w:t xml:space="preserve"> </w:t>
      </w:r>
      <m:oMath>
        <m:sSub>
          <m:sSubPr>
            <m:ctrlPr>
              <w:rPr>
                <w:rFonts w:ascii="Cambria Math" w:hAnsi="Cambria Math"/>
                <w:b/>
                <w:i/>
                <w:iCs/>
                <w:lang w:val="en-GB" w:eastAsia="en-GB"/>
              </w:rPr>
            </m:ctrlPr>
          </m:sSubPr>
          <m:e>
            <m:r>
              <m:rPr>
                <m:sty m:val="bi"/>
              </m:rPr>
              <w:rPr>
                <w:rFonts w:ascii="Cambria Math" w:hAnsi="Cambria Math"/>
                <w:lang w:val="sv-SE" w:eastAsia="en-GB"/>
              </w:rPr>
              <m:t>t</m:t>
            </m:r>
          </m:e>
          <m:sub>
            <m:r>
              <m:rPr>
                <m:sty m:val="bi"/>
              </m:rPr>
              <w:rPr>
                <w:rFonts w:ascii="Cambria Math" w:hAnsi="Cambria Math"/>
                <w:lang w:val="en-GB" w:eastAsia="en-GB"/>
              </w:rPr>
              <m:t>m,i</m:t>
            </m:r>
          </m:sub>
        </m:sSub>
      </m:oMath>
      <w:r>
        <w:rPr>
          <w:iCs/>
          <w:lang w:val="en-GB" w:eastAsia="en-GB"/>
        </w:rPr>
        <w:t xml:space="preserve"> </w:t>
      </w:r>
      <w:r w:rsidR="00F31E39">
        <w:rPr>
          <w:iCs/>
          <w:lang w:val="en-GB" w:eastAsia="en-GB"/>
        </w:rPr>
        <w:t xml:space="preserve">selected and </w:t>
      </w:r>
      <w:r>
        <w:rPr>
          <w:iCs/>
          <w:lang w:val="en-GB" w:eastAsia="en-GB"/>
        </w:rPr>
        <w:t>reported?</w:t>
      </w:r>
    </w:p>
    <w:p w14:paraId="7C52476E" w14:textId="6C65EB55" w:rsidR="00F31E39" w:rsidRPr="00F31E39" w:rsidRDefault="00F31E39" w:rsidP="00F31E39">
      <w:pPr>
        <w:pStyle w:val="ListParagraph"/>
        <w:numPr>
          <w:ilvl w:val="0"/>
          <w:numId w:val="28"/>
        </w:numPr>
        <w:rPr>
          <w:lang w:eastAsia="en-GB"/>
        </w:rPr>
      </w:pPr>
      <w:proofErr w:type="spellStart"/>
      <w:r>
        <w:rPr>
          <w:lang w:val="sv-SE" w:eastAsia="en-GB"/>
        </w:rPr>
        <w:t>Coefficient</w:t>
      </w:r>
      <w:proofErr w:type="spellEnd"/>
      <w:r>
        <w:rPr>
          <w:lang w:val="sv-SE" w:eastAsia="en-GB"/>
        </w:rPr>
        <w:t xml:space="preserve"> </w:t>
      </w:r>
      <w:proofErr w:type="spellStart"/>
      <w:r>
        <w:rPr>
          <w:lang w:val="sv-SE" w:eastAsia="en-GB"/>
        </w:rPr>
        <w:t>quantization</w:t>
      </w:r>
      <w:proofErr w:type="spellEnd"/>
      <w:r>
        <w:rPr>
          <w:lang w:val="sv-SE" w:eastAsia="en-GB"/>
        </w:rPr>
        <w:t xml:space="preserve"> and </w:t>
      </w:r>
      <w:proofErr w:type="spellStart"/>
      <w:r>
        <w:rPr>
          <w:lang w:val="sv-SE" w:eastAsia="en-GB"/>
        </w:rPr>
        <w:t>reporting</w:t>
      </w:r>
      <w:proofErr w:type="spellEnd"/>
      <w:r>
        <w:rPr>
          <w:lang w:val="sv-SE" w:eastAsia="en-GB"/>
        </w:rPr>
        <w:t>:</w:t>
      </w:r>
    </w:p>
    <w:p w14:paraId="1D020C0D" w14:textId="7A899867" w:rsidR="00F31E39" w:rsidRPr="00F31E39" w:rsidRDefault="00F31E39" w:rsidP="00F31E39">
      <w:pPr>
        <w:pStyle w:val="ListParagraph"/>
        <w:numPr>
          <w:ilvl w:val="1"/>
          <w:numId w:val="28"/>
        </w:numPr>
        <w:rPr>
          <w:lang w:eastAsia="en-GB"/>
        </w:rPr>
      </w:pPr>
      <w:r w:rsidRPr="00F31E39">
        <w:rPr>
          <w:lang w:val="en-US" w:eastAsia="en-GB"/>
        </w:rPr>
        <w:t xml:space="preserve">How is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m</m:t>
            </m:r>
          </m:sub>
        </m:sSub>
      </m:oMath>
      <w:r w:rsidRPr="00F31E39">
        <w:rPr>
          <w:lang w:val="en-US" w:eastAsia="en-GB"/>
        </w:rPr>
        <w:t xml:space="preserve"> qua</w:t>
      </w:r>
      <w:r>
        <w:rPr>
          <w:lang w:val="en-US" w:eastAsia="en-GB"/>
        </w:rPr>
        <w:t>ntized and reported?</w:t>
      </w:r>
    </w:p>
    <w:p w14:paraId="0BA8A91F" w14:textId="071CDCC6" w:rsidR="00F31E39" w:rsidRDefault="00F31E39" w:rsidP="00F31E39">
      <w:pPr>
        <w:rPr>
          <w:lang w:eastAsia="en-GB"/>
        </w:rPr>
      </w:pPr>
    </w:p>
    <w:p w14:paraId="794E4136" w14:textId="00677C99" w:rsidR="00F31E39" w:rsidRDefault="00F31E39" w:rsidP="00F31E39">
      <w:pPr>
        <w:rPr>
          <w:lang w:eastAsia="en-GB"/>
        </w:rPr>
      </w:pPr>
      <w:r>
        <w:rPr>
          <w:lang w:eastAsia="en-GB"/>
        </w:rPr>
        <w:t>Regarding 1a</w:t>
      </w:r>
      <w:r w:rsidR="00744B8F">
        <w:rPr>
          <w:lang w:eastAsia="en-GB"/>
        </w:rPr>
        <w:t xml:space="preserve">, the most straightforward approach is to consider the same </w:t>
      </w:r>
      <w:r w:rsidR="00747A23">
        <w:rPr>
          <w:lang w:eastAsia="en-GB"/>
        </w:rPr>
        <w:t>2D-DFT basis with 4x4 oversampling as in Rel-15 Type II codebook.</w:t>
      </w:r>
    </w:p>
    <w:p w14:paraId="1D23AD36" w14:textId="7DB2145C" w:rsidR="00CA78E3" w:rsidRDefault="00CA78E3" w:rsidP="00CA78E3">
      <w:pPr>
        <w:pStyle w:val="Proposal"/>
      </w:pPr>
      <w:bookmarkStart w:id="14" w:name="_Toc528944807"/>
      <w:r>
        <w:t xml:space="preserve">Re-use spatial-domain </w:t>
      </w:r>
      <w:r w:rsidR="001F5A90">
        <w:t>compression structure from Rel-15 Type II, with L orthogonal DFT beam</w:t>
      </w:r>
      <w:r w:rsidR="00A3520D">
        <w:t xml:space="preserve"> selected from rotated 2D-DFT basis</w:t>
      </w:r>
      <w:bookmarkEnd w:id="14"/>
    </w:p>
    <w:p w14:paraId="33C411AC" w14:textId="7B5557AB" w:rsidR="00A3520D" w:rsidRDefault="00A3520D" w:rsidP="00A3520D">
      <w:r>
        <w:t xml:space="preserve">With respect to the frequency-domain basis, </w:t>
      </w:r>
      <w:r w:rsidR="004F427C">
        <w:t>our proposal is to use a DFT basis</w:t>
      </w:r>
      <w:r w:rsidR="003B5B9D">
        <w:t>. T</w:t>
      </w:r>
      <w:r w:rsidR="00BA3E95">
        <w:t xml:space="preserve">he dimension of the frequency-domain basis vectors can generally be set to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sSub>
              <m:sSubPr>
                <m:ctrlPr>
                  <w:rPr>
                    <w:rFonts w:ascii="Cambria Math" w:hAnsi="Cambria Math"/>
                    <w:i/>
                  </w:rPr>
                </m:ctrlPr>
              </m:sSubPr>
              <m:e>
                <m:r>
                  <w:rPr>
                    <w:rFonts w:ascii="Cambria Math" w:hAnsi="Cambria Math"/>
                  </w:rPr>
                  <m:t>S</m:t>
                </m:r>
              </m:e>
              <m:sub>
                <m:r>
                  <w:rPr>
                    <w:rFonts w:ascii="Cambria Math" w:hAnsi="Cambria Math"/>
                  </w:rPr>
                  <m:t>PMI</m:t>
                </m:r>
              </m:sub>
            </m:sSub>
          </m:den>
        </m:f>
        <m:r>
          <w:rPr>
            <w:rFonts w:ascii="Cambria Math" w:hAnsi="Cambria Math"/>
          </w:rPr>
          <m:t>×1</m:t>
        </m:r>
      </m:oMath>
      <w:r w:rsidR="00BA3E95">
        <w:t xml:space="preserve"> vectors, where </w:t>
      </w:r>
      <m:oMath>
        <m:sSub>
          <m:sSubPr>
            <m:ctrlPr>
              <w:rPr>
                <w:rFonts w:ascii="Cambria Math" w:hAnsi="Cambria Math"/>
                <w:i/>
              </w:rPr>
            </m:ctrlPr>
          </m:sSubPr>
          <m:e>
            <m:r>
              <w:rPr>
                <w:rFonts w:ascii="Cambria Math" w:hAnsi="Cambria Math"/>
              </w:rPr>
              <m:t>S</m:t>
            </m:r>
          </m:e>
          <m:sub>
            <m:r>
              <w:rPr>
                <w:rFonts w:ascii="Cambria Math" w:hAnsi="Cambria Math"/>
              </w:rPr>
              <m:t>PMI</m:t>
            </m:r>
          </m:sub>
        </m:sSub>
        <m:r>
          <w:rPr>
            <w:rFonts w:ascii="Cambria Math" w:hAnsi="Cambria Math"/>
          </w:rPr>
          <m:t>∈{1,2,4}</m:t>
        </m:r>
      </m:oMath>
      <w:r w:rsidR="00BA3E95">
        <w:t xml:space="preserve"> is a subband size for PMI.</w:t>
      </w:r>
    </w:p>
    <w:p w14:paraId="01457891" w14:textId="5919387B" w:rsidR="00FF05B5" w:rsidRDefault="00D77B14" w:rsidP="002A540C">
      <w:pPr>
        <w:pStyle w:val="Proposal"/>
        <w:rPr>
          <w:lang w:eastAsia="en-GB"/>
        </w:rPr>
      </w:pPr>
      <w:bookmarkStart w:id="15" w:name="_Toc528944808"/>
      <w:r>
        <w:t xml:space="preserve">For frequency-domain basis, consider </w:t>
      </w:r>
      <w:r w:rsidR="00CE2DEC">
        <w:t>a DFT basis consisting of</w:t>
      </w:r>
      <w:r w:rsidR="00265D6C">
        <w:t xml:space="preserve"> size-</w:t>
      </w:r>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PRB</m:t>
                </m:r>
              </m:sub>
            </m:sSub>
          </m:num>
          <m:den>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PMI</m:t>
                </m:r>
              </m:sub>
            </m:sSub>
          </m:den>
        </m:f>
        <m:r>
          <m:rPr>
            <m:sty m:val="bi"/>
          </m:rPr>
          <w:rPr>
            <w:rFonts w:ascii="Cambria Math" w:hAnsi="Cambria Math"/>
          </w:rPr>
          <m:t>×1</m:t>
        </m:r>
      </m:oMath>
      <w:r w:rsidR="00CE2DEC">
        <w:t xml:space="preserve"> </w:t>
      </w:r>
      <w:r w:rsidR="00265D6C">
        <w:t>basis vectors</w:t>
      </w:r>
      <w:r w:rsidR="00E703A9">
        <w:t>, where</w:t>
      </w:r>
      <m:oMath>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PMI</m:t>
            </m:r>
          </m:sub>
        </m:sSub>
        <m:r>
          <m:rPr>
            <m:sty m:val="bi"/>
          </m:rPr>
          <w:rPr>
            <w:rFonts w:ascii="Cambria Math" w:hAnsi="Cambria Math"/>
          </w:rPr>
          <m:t>∈{1,2,4}</m:t>
        </m:r>
      </m:oMath>
      <w:r w:rsidR="00E703A9">
        <w:t xml:space="preserve"> is the subband size for PMI</w:t>
      </w:r>
      <w:bookmarkEnd w:id="15"/>
    </w:p>
    <w:p w14:paraId="24FCE23C" w14:textId="1EDA4ABA" w:rsidR="00287176" w:rsidRDefault="00D17377" w:rsidP="00D17377">
      <w:pPr>
        <w:rPr>
          <w:lang w:eastAsia="en-GB"/>
        </w:rPr>
      </w:pPr>
      <w:r>
        <w:rPr>
          <w:lang w:eastAsia="en-GB"/>
        </w:rPr>
        <w:t xml:space="preserve">Regarding selection of the frequency-domain basis vectors, we can consider two </w:t>
      </w:r>
      <w:r w:rsidR="006B1EB7">
        <w:rPr>
          <w:lang w:eastAsia="en-GB"/>
        </w:rPr>
        <w:t xml:space="preserve">main </w:t>
      </w:r>
      <w:r>
        <w:rPr>
          <w:lang w:eastAsia="en-GB"/>
        </w:rPr>
        <w:t>approaches</w:t>
      </w:r>
      <w:r w:rsidR="006B1EB7">
        <w:rPr>
          <w:lang w:eastAsia="en-GB"/>
        </w:rPr>
        <w:t>:</w:t>
      </w:r>
    </w:p>
    <w:p w14:paraId="1E0EECE0" w14:textId="77777777" w:rsidR="00287176" w:rsidRPr="00287176" w:rsidRDefault="00287176" w:rsidP="00287176">
      <w:pPr>
        <w:numPr>
          <w:ilvl w:val="1"/>
          <w:numId w:val="30"/>
        </w:numPr>
        <w:tabs>
          <w:tab w:val="clear" w:pos="1440"/>
          <w:tab w:val="num" w:pos="360"/>
        </w:tabs>
        <w:ind w:left="360"/>
        <w:rPr>
          <w:lang w:val="en-US" w:eastAsia="en-GB"/>
        </w:rPr>
      </w:pPr>
      <w:r w:rsidRPr="00287176">
        <w:rPr>
          <w:lang w:val="en-US" w:eastAsia="en-GB"/>
        </w:rPr>
        <w:t>Alt 1: Common basis for all beams</w:t>
      </w:r>
    </w:p>
    <w:p w14:paraId="3DA20054" w14:textId="410E9B70" w:rsidR="00287176" w:rsidRPr="00287176" w:rsidRDefault="00800F08" w:rsidP="00287176">
      <w:pPr>
        <w:numPr>
          <w:ilvl w:val="0"/>
          <w:numId w:val="30"/>
        </w:numPr>
        <w:tabs>
          <w:tab w:val="clear" w:pos="720"/>
        </w:tabs>
        <w:rPr>
          <w:lang w:val="en-US" w:eastAsia="en-GB"/>
        </w:rPr>
      </w:pPr>
      <m:oMath>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m,0</m:t>
            </m:r>
          </m:sub>
        </m:sSub>
        <m:r>
          <w:rPr>
            <w:rFonts w:ascii="Cambria Math" w:hAnsi="Cambria Math"/>
            <w:lang w:val="sv-SE" w:eastAsia="en-GB"/>
          </w:rPr>
          <m:t>=</m:t>
        </m:r>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m,1</m:t>
            </m:r>
          </m:sub>
        </m:sSub>
        <m:r>
          <w:rPr>
            <w:rFonts w:ascii="Cambria Math" w:hAnsi="Cambria Math"/>
            <w:lang w:val="sv-SE" w:eastAsia="en-GB"/>
          </w:rPr>
          <m:t>=…=</m:t>
        </m:r>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m,2L-1</m:t>
            </m:r>
          </m:sub>
        </m:sSub>
      </m:oMath>
    </w:p>
    <w:p w14:paraId="501472CE" w14:textId="77777777" w:rsidR="00287176" w:rsidRDefault="00287176" w:rsidP="00287176">
      <w:pPr>
        <w:numPr>
          <w:ilvl w:val="1"/>
          <w:numId w:val="30"/>
        </w:numPr>
        <w:tabs>
          <w:tab w:val="clear" w:pos="1440"/>
          <w:tab w:val="num" w:pos="360"/>
        </w:tabs>
        <w:ind w:left="360"/>
        <w:rPr>
          <w:lang w:val="en-US" w:eastAsia="en-GB"/>
        </w:rPr>
      </w:pPr>
      <w:r w:rsidRPr="00287176">
        <w:rPr>
          <w:lang w:val="en-US" w:eastAsia="en-GB"/>
        </w:rPr>
        <w:t>Alt 2: Independent basis for each beam</w:t>
      </w:r>
    </w:p>
    <w:p w14:paraId="7AB83F97" w14:textId="70058244" w:rsidR="00287176" w:rsidRPr="00AF142A" w:rsidRDefault="00800F08" w:rsidP="00AF142A">
      <w:pPr>
        <w:numPr>
          <w:ilvl w:val="0"/>
          <w:numId w:val="30"/>
        </w:numPr>
        <w:tabs>
          <w:tab w:val="clear" w:pos="720"/>
        </w:tabs>
        <w:rPr>
          <w:lang w:val="en-US" w:eastAsia="en-GB"/>
        </w:rPr>
      </w:pPr>
      <m:oMath>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m,0</m:t>
            </m:r>
          </m:sub>
        </m:sSub>
        <m:r>
          <w:rPr>
            <w:rFonts w:ascii="Cambria Math" w:hAnsi="Cambria Math"/>
            <w:lang w:val="sv-SE" w:eastAsia="en-GB"/>
          </w:rPr>
          <m:t>≠</m:t>
        </m:r>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m,1</m:t>
            </m:r>
          </m:sub>
        </m:sSub>
        <m:r>
          <w:rPr>
            <w:rFonts w:ascii="Cambria Math" w:hAnsi="Cambria Math"/>
            <w:lang w:val="sv-SE" w:eastAsia="en-GB"/>
          </w:rPr>
          <m:t>≠…≠</m:t>
        </m:r>
        <m:sSub>
          <m:sSubPr>
            <m:ctrlPr>
              <w:rPr>
                <w:rFonts w:ascii="Cambria Math" w:hAnsi="Cambria Math"/>
                <w:i/>
                <w:iCs/>
                <w:lang w:val="sv-SE" w:eastAsia="en-GB"/>
              </w:rPr>
            </m:ctrlPr>
          </m:sSubPr>
          <m:e>
            <m:r>
              <m:rPr>
                <m:sty m:val="bi"/>
              </m:rPr>
              <w:rPr>
                <w:rFonts w:ascii="Cambria Math" w:hAnsi="Cambria Math"/>
                <w:lang w:val="sv-SE" w:eastAsia="en-GB"/>
              </w:rPr>
              <m:t>t</m:t>
            </m:r>
            <m:ctrlPr>
              <w:rPr>
                <w:rFonts w:ascii="Cambria Math" w:hAnsi="Cambria Math"/>
                <w:b/>
                <w:i/>
                <w:iCs/>
                <w:lang w:val="sv-SE" w:eastAsia="en-GB"/>
              </w:rPr>
            </m:ctrlPr>
          </m:e>
          <m:sub>
            <m:r>
              <w:rPr>
                <w:rFonts w:ascii="Cambria Math" w:hAnsi="Cambria Math"/>
                <w:lang w:val="sv-SE" w:eastAsia="en-GB"/>
              </w:rPr>
              <m:t>m,2L-1</m:t>
            </m:r>
          </m:sub>
        </m:sSub>
      </m:oMath>
    </w:p>
    <w:p w14:paraId="1E635029" w14:textId="7C242301" w:rsidR="00287176" w:rsidRDefault="00F611E4" w:rsidP="00AF142A">
      <w:pPr>
        <w:rPr>
          <w:lang w:val="en-US" w:eastAsia="en-GB"/>
        </w:rPr>
      </w:pPr>
      <w:r>
        <w:rPr>
          <w:lang w:val="en-US" w:eastAsia="en-GB"/>
        </w:rPr>
        <w:t xml:space="preserve">With Alt 1, </w:t>
      </w:r>
      <w:r w:rsidR="00EE7A78">
        <w:rPr>
          <w:lang w:val="en-US" w:eastAsia="en-GB"/>
        </w:rPr>
        <w:t xml:space="preserve">the overhead for basis selection is reduced, however </w:t>
      </w:r>
      <w:r w:rsidR="00DD17DA">
        <w:rPr>
          <w:lang w:val="en-US" w:eastAsia="en-GB"/>
        </w:rPr>
        <w:t xml:space="preserve">the </w:t>
      </w:r>
      <w:r w:rsidR="00235A95">
        <w:rPr>
          <w:lang w:val="en-US" w:eastAsia="en-GB"/>
        </w:rPr>
        <w:t xml:space="preserve">basis may not be well-matched to each beam and many </w:t>
      </w:r>
      <w:r w:rsidR="00E255E7">
        <w:rPr>
          <w:lang w:val="en-US" w:eastAsia="en-GB"/>
        </w:rPr>
        <w:t>basis vectors may be redundant for a certain beam, implying that more basis vectors need to be included. For independent basis in Alt 2, the basis selection for each beam is optimized, ho</w:t>
      </w:r>
      <w:r w:rsidR="002F50E2">
        <w:rPr>
          <w:lang w:val="en-US" w:eastAsia="en-GB"/>
        </w:rPr>
        <w:t>wever an indication of the basis for each beam needs to be done, which increases the overhead.</w:t>
      </w:r>
      <w:r w:rsidR="00A6680A">
        <w:rPr>
          <w:lang w:val="en-US" w:eastAsia="en-GB"/>
        </w:rPr>
        <w:t xml:space="preserve"> It is thus not obvious which alternative is preferable.</w:t>
      </w:r>
    </w:p>
    <w:p w14:paraId="115FE177" w14:textId="71728D96" w:rsidR="00A6680A" w:rsidRDefault="006A44E9" w:rsidP="00AF142A">
      <w:pPr>
        <w:rPr>
          <w:lang w:val="en-US" w:eastAsia="en-GB"/>
        </w:rPr>
      </w:pPr>
      <w:r>
        <w:rPr>
          <w:lang w:val="en-US" w:eastAsia="en-GB"/>
        </w:rPr>
        <w:t>Regarding c</w:t>
      </w:r>
      <w:r w:rsidRPr="006A44E9">
        <w:rPr>
          <w:lang w:val="en-US" w:eastAsia="en-GB"/>
        </w:rPr>
        <w:t>oefficient quantization and reporting</w:t>
      </w:r>
      <w:r>
        <w:rPr>
          <w:lang w:val="en-US" w:eastAsia="en-GB"/>
        </w:rPr>
        <w:t xml:space="preserve">, a baseline assumption can be to use simple quantization with 3bits for each of phase and amplitude, but </w:t>
      </w:r>
      <w:r w:rsidR="00EE55B1">
        <w:rPr>
          <w:lang w:val="en-US" w:eastAsia="en-GB"/>
        </w:rPr>
        <w:t>this can also be studied further.</w:t>
      </w:r>
    </w:p>
    <w:p w14:paraId="52AE9F17" w14:textId="036BC959" w:rsidR="00EE55B1" w:rsidRPr="006A44E9" w:rsidRDefault="00EE55B1" w:rsidP="00EE55B1">
      <w:pPr>
        <w:pStyle w:val="Proposal"/>
        <w:rPr>
          <w:lang w:val="en-US"/>
        </w:rPr>
      </w:pPr>
      <w:bookmarkStart w:id="16" w:name="_Toc528944809"/>
      <w:r>
        <w:rPr>
          <w:lang w:val="en-US"/>
        </w:rPr>
        <w:t>Study further methods for</w:t>
      </w:r>
      <w:r w:rsidRPr="00EE55B1">
        <w:rPr>
          <w:lang w:eastAsia="en-GB"/>
        </w:rPr>
        <w:t xml:space="preserve"> </w:t>
      </w:r>
      <w:r>
        <w:rPr>
          <w:lang w:eastAsia="en-GB"/>
        </w:rPr>
        <w:t xml:space="preserve">selection of the frequency-domain basis vectors and </w:t>
      </w:r>
      <w:r w:rsidR="00AE00D5">
        <w:rPr>
          <w:lang w:eastAsia="en-GB"/>
        </w:rPr>
        <w:t>quantization and reporting of the coefficients</w:t>
      </w:r>
      <w:bookmarkEnd w:id="16"/>
    </w:p>
    <w:p w14:paraId="008992A3" w14:textId="77777777" w:rsidR="00287176" w:rsidRPr="00287176" w:rsidRDefault="00287176" w:rsidP="00AF142A">
      <w:pPr>
        <w:rPr>
          <w:lang w:val="en-US" w:eastAsia="en-GB"/>
        </w:rPr>
      </w:pPr>
    </w:p>
    <w:p w14:paraId="0EEC38B1" w14:textId="029CE15E" w:rsidR="009F3FC3" w:rsidRDefault="00FF05B5" w:rsidP="006E0985">
      <w:pPr>
        <w:pStyle w:val="Heading1"/>
      </w:pPr>
      <w:r>
        <w:rPr>
          <w:lang w:eastAsia="en-GB"/>
        </w:rPr>
        <w:t>5</w:t>
      </w:r>
      <w:r>
        <w:rPr>
          <w:lang w:eastAsia="en-GB"/>
        </w:rPr>
        <w:tab/>
      </w:r>
      <w:r w:rsidR="006E0985">
        <w:t>E</w:t>
      </w:r>
      <w:r w:rsidR="00ED4681">
        <w:t>valuation results</w:t>
      </w:r>
    </w:p>
    <w:p w14:paraId="0CF10BF8" w14:textId="706A739C" w:rsidR="00AE00D5" w:rsidRDefault="00955F85" w:rsidP="00ED4681">
      <w:r>
        <w:t xml:space="preserve">To </w:t>
      </w:r>
      <w:r w:rsidR="00AE00D5">
        <w:t>measure</w:t>
      </w:r>
      <w:r>
        <w:t xml:space="preserve"> the performance of</w:t>
      </w:r>
      <w:r w:rsidR="00AE00D5">
        <w:t xml:space="preserve"> the proposed</w:t>
      </w:r>
      <w:r>
        <w:t xml:space="preserve"> Type II CSI enhancements based on frequency parametrization, we have performed evaluations, where Rel-15 Type II CSI</w:t>
      </w:r>
      <w:r w:rsidR="00B64CCD">
        <w:t xml:space="preserve"> using L=4 beams, WB amplitude and 8-PSK cophasing per subband, is compared against a frequency-parametrization approach based on </w:t>
      </w:r>
      <w:r w:rsidR="00647714">
        <w:t xml:space="preserve">the </w:t>
      </w:r>
      <w:r w:rsidR="00B64CCD">
        <w:t>linear transformation.</w:t>
      </w:r>
      <w:r w:rsidR="00AA26DB">
        <w:t xml:space="preserve"> The subband size used is the smaller one for the respective bandwidth.</w:t>
      </w:r>
    </w:p>
    <w:p w14:paraId="37E3BAA6" w14:textId="11FFE965" w:rsidR="00271D50" w:rsidRDefault="00B64CCD" w:rsidP="00ED4681">
      <w:r>
        <w:t xml:space="preserve">For the proposed enhancement, L=4 beams are used as well but the beam coefficients are parametrized over frequency using </w:t>
      </w:r>
      <w:r w:rsidR="00AE00D5">
        <w:t>M</w:t>
      </w:r>
      <w:proofErr w:type="gramStart"/>
      <w:r>
        <w:t>={</w:t>
      </w:r>
      <w:proofErr w:type="gramEnd"/>
      <w:r>
        <w:t>1,2,</w:t>
      </w:r>
      <w:r w:rsidR="00AE00D5">
        <w:t>3,</w:t>
      </w:r>
      <w:r>
        <w:t>4} basis vectors.</w:t>
      </w:r>
      <w:r w:rsidR="00AE00D5">
        <w:t xml:space="preserve"> </w:t>
      </w:r>
      <w:r w:rsidR="00571FD3">
        <w:t xml:space="preserve"> The linear combining coefficients are quantized using three bits each for phase and amplitude.</w:t>
      </w:r>
    </w:p>
    <w:p w14:paraId="56519DD7" w14:textId="3936673C" w:rsidR="00271D50" w:rsidRDefault="00271D50" w:rsidP="00ED4681">
      <w:r>
        <w:t>The following parameters are compared:</w:t>
      </w:r>
    </w:p>
    <w:p w14:paraId="77233FA3" w14:textId="5DEAFD32" w:rsidR="00271D50" w:rsidRPr="0021322C" w:rsidRDefault="0021322C" w:rsidP="0021322C">
      <w:pPr>
        <w:pStyle w:val="ListParagraph"/>
        <w:numPr>
          <w:ilvl w:val="0"/>
          <w:numId w:val="26"/>
        </w:numPr>
      </w:pPr>
      <w:r>
        <w:rPr>
          <w:lang w:val="sv-SE"/>
        </w:rPr>
        <w:t xml:space="preserve">Subband </w:t>
      </w:r>
      <w:proofErr w:type="spellStart"/>
      <w:r>
        <w:rPr>
          <w:lang w:val="sv-SE"/>
        </w:rPr>
        <w:t>size</w:t>
      </w:r>
      <w:proofErr w:type="spellEnd"/>
      <w:r>
        <w:rPr>
          <w:lang w:val="sv-SE"/>
        </w:rPr>
        <w:t xml:space="preserve"> for PMI:</w:t>
      </w:r>
    </w:p>
    <w:p w14:paraId="1B0059E2" w14:textId="411FDA98" w:rsidR="0021322C" w:rsidRPr="00F207EA" w:rsidRDefault="00800F08" w:rsidP="0021322C">
      <w:pPr>
        <w:pStyle w:val="ListParagraph"/>
        <w:numPr>
          <w:ilvl w:val="1"/>
          <w:numId w:val="26"/>
        </w:numPr>
      </w:pPr>
      <m:oMath>
        <m:sSub>
          <m:sSubPr>
            <m:ctrlPr>
              <w:rPr>
                <w:rFonts w:ascii="Cambria Math" w:hAnsi="Cambria Math"/>
                <w:i/>
              </w:rPr>
            </m:ctrlPr>
          </m:sSubPr>
          <m:e>
            <m:r>
              <w:rPr>
                <w:rFonts w:ascii="Cambria Math" w:hAnsi="Cambria Math"/>
              </w:rPr>
              <m:t>S</m:t>
            </m:r>
          </m:e>
          <m:sub>
            <m:r>
              <w:rPr>
                <w:rFonts w:ascii="Cambria Math" w:hAnsi="Cambria Math"/>
              </w:rPr>
              <m:t>PMI</m:t>
            </m:r>
          </m:sub>
        </m:sSub>
      </m:oMath>
      <w:r w:rsidR="0021322C" w:rsidRPr="00F867FB">
        <w:rPr>
          <w:lang w:val="en-US"/>
        </w:rPr>
        <w:t xml:space="preserve"> = {1,</w:t>
      </w:r>
      <w:r w:rsidR="00F867FB" w:rsidRPr="00F867FB">
        <w:rPr>
          <w:lang w:val="en-US"/>
        </w:rPr>
        <w:t xml:space="preserve"> value1, value2}, w</w:t>
      </w:r>
      <w:r w:rsidR="00F867FB">
        <w:rPr>
          <w:lang w:val="en-US"/>
        </w:rPr>
        <w:t>here value1 and value2 corresponds to the legacy subband sizes for</w:t>
      </w:r>
      <w:r w:rsidR="00F207EA">
        <w:rPr>
          <w:lang w:val="en-US"/>
        </w:rPr>
        <w:t xml:space="preserve"> the respective BW</w:t>
      </w:r>
    </w:p>
    <w:p w14:paraId="7E11E32A" w14:textId="127C32C5" w:rsidR="00F207EA" w:rsidRPr="00F207EA" w:rsidRDefault="00F207EA" w:rsidP="00F207EA">
      <w:pPr>
        <w:pStyle w:val="ListParagraph"/>
        <w:numPr>
          <w:ilvl w:val="0"/>
          <w:numId w:val="26"/>
        </w:numPr>
      </w:pPr>
      <w:proofErr w:type="spellStart"/>
      <w:r>
        <w:rPr>
          <w:lang w:val="sv-SE"/>
        </w:rPr>
        <w:t>Frequency-domain</w:t>
      </w:r>
      <w:proofErr w:type="spellEnd"/>
      <w:r>
        <w:rPr>
          <w:lang w:val="sv-SE"/>
        </w:rPr>
        <w:t xml:space="preserve"> basis </w:t>
      </w:r>
      <w:proofErr w:type="spellStart"/>
      <w:r>
        <w:rPr>
          <w:lang w:val="sv-SE"/>
        </w:rPr>
        <w:t>selection</w:t>
      </w:r>
      <w:proofErr w:type="spellEnd"/>
      <w:r>
        <w:rPr>
          <w:lang w:val="sv-SE"/>
        </w:rPr>
        <w:t>:</w:t>
      </w:r>
    </w:p>
    <w:p w14:paraId="41B47AB8" w14:textId="1D48E5A6" w:rsidR="00F207EA" w:rsidRPr="00A60162" w:rsidRDefault="00F207EA" w:rsidP="00F207EA">
      <w:pPr>
        <w:pStyle w:val="ListParagraph"/>
        <w:numPr>
          <w:ilvl w:val="1"/>
          <w:numId w:val="26"/>
        </w:numPr>
      </w:pPr>
      <w:r w:rsidRPr="004F71E2">
        <w:rPr>
          <w:lang w:val="en-US"/>
        </w:rPr>
        <w:t xml:space="preserve">Common </w:t>
      </w:r>
      <w:r w:rsidR="004F71E2" w:rsidRPr="004F71E2">
        <w:rPr>
          <w:lang w:val="en-US"/>
        </w:rPr>
        <w:t>basis</w:t>
      </w:r>
      <w:r w:rsidR="004F71E2">
        <w:rPr>
          <w:lang w:val="en-US"/>
        </w:rPr>
        <w:t xml:space="preserve"> (Alt 1)</w:t>
      </w:r>
      <w:r w:rsidR="004F71E2" w:rsidRPr="004F71E2">
        <w:rPr>
          <w:lang w:val="en-US"/>
        </w:rPr>
        <w:t xml:space="preserve"> vs. Independent basis</w:t>
      </w:r>
      <w:r w:rsidR="004F71E2">
        <w:rPr>
          <w:lang w:val="en-US"/>
        </w:rPr>
        <w:t xml:space="preserve"> (Alt 2)</w:t>
      </w:r>
    </w:p>
    <w:p w14:paraId="109EE3F4" w14:textId="0568C86D" w:rsidR="00A60162" w:rsidRPr="004F71E2" w:rsidRDefault="00A60162" w:rsidP="00F207EA">
      <w:pPr>
        <w:pStyle w:val="ListParagraph"/>
        <w:numPr>
          <w:ilvl w:val="1"/>
          <w:numId w:val="26"/>
        </w:numPr>
      </w:pPr>
      <w:r>
        <w:t>M={1,2,3,4} basis vectors</w:t>
      </w:r>
    </w:p>
    <w:p w14:paraId="53352675" w14:textId="77777777" w:rsidR="004F71E2" w:rsidRDefault="004F71E2" w:rsidP="005751E5"/>
    <w:p w14:paraId="51A6ADE3" w14:textId="22D712D9" w:rsidR="003E7CA0" w:rsidRDefault="00AA26DB" w:rsidP="00ED4681">
      <w:r>
        <w:t xml:space="preserve">Two bandwidths are considered for evaluation, 100 MHz BW using 30kHz SCS </w:t>
      </w:r>
      <w:r w:rsidR="002E6BE6">
        <w:t>and 10MHz BW using 15kHz SCS. The respective results are presented in Figures 3 and 4 below where the relative cell edge performance (compared to the Rel-15 Type II baseline)</w:t>
      </w:r>
      <w:r w:rsidR="009802DB">
        <w:t xml:space="preserve"> is plotted against </w:t>
      </w:r>
      <w:r w:rsidR="00A60162">
        <w:t xml:space="preserve">the resulting rank-1 overhead. </w:t>
      </w:r>
      <w:r w:rsidR="00D52393">
        <w:t>Preliminary evaluation results are presented in the figures below, where the performance metric is</w:t>
      </w:r>
      <w:r w:rsidR="00374C7C">
        <w:t xml:space="preserve"> 5</w:t>
      </w:r>
      <w:r w:rsidR="00374C7C" w:rsidRPr="00374C7C">
        <w:rPr>
          <w:vertAlign w:val="superscript"/>
        </w:rPr>
        <w:t>th</w:t>
      </w:r>
      <w:r w:rsidR="00374C7C">
        <w:t xml:space="preserve"> percentile rank-1 precoding SNR.</w:t>
      </w:r>
    </w:p>
    <w:p w14:paraId="2FFADDF5" w14:textId="5CB910BD" w:rsidR="00095837" w:rsidRDefault="00095837" w:rsidP="00ED4681">
      <w:r>
        <w:t>An immediate observation is that the ordering of the curves</w:t>
      </w:r>
      <w:r w:rsidR="007C2DF7">
        <w:t xml:space="preserve"> for the two evaluated bandwidths are roughly the same, however the difference in performance </w:t>
      </w:r>
      <w:r w:rsidR="0054223C">
        <w:t>between 1 PRB PMI subband size</w:t>
      </w:r>
      <w:r w:rsidR="000B757A">
        <w:t xml:space="preserve"> and </w:t>
      </w:r>
      <w:r w:rsidR="008B46E8">
        <w:t xml:space="preserve">the legacy subband size </w:t>
      </w:r>
      <w:r w:rsidR="00302539">
        <w:t xml:space="preserve">is </w:t>
      </w:r>
      <w:r w:rsidR="00DC58FB">
        <w:t>substantially</w:t>
      </w:r>
      <w:r w:rsidR="00302539">
        <w:t xml:space="preserve"> increase</w:t>
      </w:r>
      <w:r w:rsidR="00DC58FB">
        <w:t>d</w:t>
      </w:r>
      <w:r w:rsidR="00302539">
        <w:t xml:space="preserve"> for the higher BW scenario, due to that the subband size is larger.</w:t>
      </w:r>
      <w:r w:rsidR="00DC58FB">
        <w:t xml:space="preserve"> We further observed that setting the PMI subband size to 1 PRB</w:t>
      </w:r>
      <w:r w:rsidR="00C1135D">
        <w:t xml:space="preserve"> can simultaneously improve performance and reduce overhead compared to the Rel-15 baseline. In contrast, if the PMI subband size </w:t>
      </w:r>
      <w:r w:rsidR="008C191D">
        <w:t xml:space="preserve">is set to the legacy subband size, the performance is capped by the Rel-15 performance. </w:t>
      </w:r>
      <w:r w:rsidR="00373137">
        <w:t xml:space="preserve">The overhead can still be </w:t>
      </w:r>
      <w:proofErr w:type="gramStart"/>
      <w:r w:rsidR="00373137">
        <w:t>reduce</w:t>
      </w:r>
      <w:proofErr w:type="gramEnd"/>
      <w:r w:rsidR="00373137">
        <w:t xml:space="preserve"> though, but not as much as for when the PMI subband size is one PRB, which has </w:t>
      </w:r>
      <w:r w:rsidR="00170ED2">
        <w:t xml:space="preserve">superior performance/overhead </w:t>
      </w:r>
      <w:proofErr w:type="spellStart"/>
      <w:r w:rsidR="00170ED2">
        <w:t>tradeoff</w:t>
      </w:r>
      <w:proofErr w:type="spellEnd"/>
      <w:r w:rsidR="00170ED2">
        <w:t>.</w:t>
      </w:r>
      <w:r w:rsidR="00DE5C82">
        <w:t xml:space="preserve"> </w:t>
      </w:r>
    </w:p>
    <w:p w14:paraId="42C4051E" w14:textId="7A2FC98C" w:rsidR="00DE5C82" w:rsidRDefault="00DE5C82" w:rsidP="00ED4681">
      <w:r>
        <w:t xml:space="preserve">We further observe that the performance/overhead </w:t>
      </w:r>
      <w:proofErr w:type="spellStart"/>
      <w:r>
        <w:t>tradeoff</w:t>
      </w:r>
      <w:proofErr w:type="spellEnd"/>
      <w:r>
        <w:t xml:space="preserve"> for independent and common basis is roughly the same, expect for the degenerate case when M=1 basis </w:t>
      </w:r>
      <w:r w:rsidR="005D6FEB">
        <w:t>component</w:t>
      </w:r>
      <w:r>
        <w:t xml:space="preserve"> </w:t>
      </w:r>
      <w:proofErr w:type="gramStart"/>
      <w:r>
        <w:t>are</w:t>
      </w:r>
      <w:proofErr w:type="gramEnd"/>
      <w:r>
        <w:t xml:space="preserve"> used with the common basis. </w:t>
      </w:r>
      <w:r w:rsidR="005D6FEB">
        <w:t>For instance,</w:t>
      </w:r>
      <w:r>
        <w:t xml:space="preserve"> </w:t>
      </w:r>
      <w:r w:rsidR="005D6FEB">
        <w:t>M=4 with common basis has about the same performance and overhead as M=2 with the independent basis. This implies that</w:t>
      </w:r>
      <w:r w:rsidR="0097571A">
        <w:t xml:space="preserve"> only about two out of the 4 basis vectors are used per beam in the common basis case, and that many of the linear combination coefficients in this case have low amplitude and do not impact much to the precoder.</w:t>
      </w:r>
      <w:r w:rsidR="0068591F">
        <w:t xml:space="preserve"> One can thus consider using </w:t>
      </w:r>
      <w:proofErr w:type="gramStart"/>
      <w:r w:rsidR="0068591F">
        <w:t>some kind of hybrid</w:t>
      </w:r>
      <w:proofErr w:type="gramEnd"/>
      <w:r w:rsidR="0068591F">
        <w:t xml:space="preserve"> approach between independent and common basis selection</w:t>
      </w:r>
      <w:r w:rsidR="00D86BC0">
        <w:t>.</w:t>
      </w:r>
    </w:p>
    <w:bookmarkStart w:id="17" w:name="_Toc528944818"/>
    <w:p w14:paraId="22416388" w14:textId="110C5712" w:rsidR="00095837" w:rsidRPr="00095837" w:rsidRDefault="00800F08" w:rsidP="00170ED2">
      <w:pPr>
        <w:pStyle w:val="Observation"/>
        <w:rPr>
          <w:lang w:val="en-US"/>
        </w:rPr>
      </w:pPr>
      <m:oMath>
        <m:sSub>
          <m:sSubPr>
            <m:ctrlPr>
              <w:rPr>
                <w:rFonts w:ascii="Cambria Math" w:hAnsi="Cambria Math"/>
                <w:i/>
                <w:lang w:val="en-US"/>
              </w:rPr>
            </m:ctrlPr>
          </m:sSubPr>
          <m:e>
            <m:r>
              <m:rPr>
                <m:sty m:val="bi"/>
              </m:rPr>
              <w:rPr>
                <w:rFonts w:ascii="Cambria Math" w:hAnsi="Cambria Math"/>
                <w:lang w:val="en-US"/>
              </w:rPr>
              <m:t>S</m:t>
            </m:r>
          </m:e>
          <m:sub>
            <m:r>
              <m:rPr>
                <m:sty m:val="bi"/>
              </m:rPr>
              <w:rPr>
                <w:rFonts w:ascii="Cambria Math" w:hAnsi="Cambria Math"/>
                <w:lang w:val="en-US"/>
              </w:rPr>
              <m:t>PMI</m:t>
            </m:r>
          </m:sub>
        </m:sSub>
        <m:r>
          <m:rPr>
            <m:sty m:val="bi"/>
          </m:rPr>
          <w:rPr>
            <w:rFonts w:ascii="Cambria Math" w:hAnsi="Cambria Math"/>
            <w:lang w:val="en-US"/>
          </w:rPr>
          <m:t>=1</m:t>
        </m:r>
      </m:oMath>
      <w:r w:rsidR="00170ED2">
        <w:rPr>
          <w:lang w:val="en-US"/>
        </w:rPr>
        <w:t xml:space="preserve"> PRB</w:t>
      </w:r>
      <w:r w:rsidR="00095837" w:rsidRPr="00095837">
        <w:rPr>
          <w:lang w:val="en-US"/>
        </w:rPr>
        <w:t xml:space="preserve"> can</w:t>
      </w:r>
      <w:r w:rsidR="00170ED2">
        <w:rPr>
          <w:lang w:val="en-US"/>
        </w:rPr>
        <w:t xml:space="preserve"> simultaneously</w:t>
      </w:r>
      <w:r w:rsidR="00095837" w:rsidRPr="00095837">
        <w:rPr>
          <w:lang w:val="en-US"/>
        </w:rPr>
        <w:t xml:space="preserve"> improve performance and reduce overhead</w:t>
      </w:r>
      <w:r w:rsidR="00170ED2">
        <w:rPr>
          <w:lang w:val="en-US"/>
        </w:rPr>
        <w:t xml:space="preserve">, while for </w:t>
      </w:r>
      <m:oMath>
        <m:sSub>
          <m:sSubPr>
            <m:ctrlPr>
              <w:rPr>
                <w:rFonts w:ascii="Cambria Math" w:hAnsi="Cambria Math"/>
                <w:i/>
                <w:lang w:val="en-US"/>
              </w:rPr>
            </m:ctrlPr>
          </m:sSubPr>
          <m:e>
            <m:r>
              <m:rPr>
                <m:sty m:val="bi"/>
              </m:rPr>
              <w:rPr>
                <w:rFonts w:ascii="Cambria Math" w:hAnsi="Cambria Math"/>
                <w:lang w:val="en-US"/>
              </w:rPr>
              <m:t>S</m:t>
            </m:r>
          </m:e>
          <m:sub>
            <m:r>
              <m:rPr>
                <m:sty m:val="bi"/>
              </m:rPr>
              <w:rPr>
                <w:rFonts w:ascii="Cambria Math" w:hAnsi="Cambria Math"/>
                <w:lang w:val="en-US"/>
              </w:rPr>
              <m:t>PMI</m:t>
            </m:r>
          </m:sub>
        </m:sSub>
        <m:r>
          <m:rPr>
            <m:sty m:val="bi"/>
          </m:rPr>
          <w:rPr>
            <w:rFonts w:ascii="Cambria Math" w:hAnsi="Cambria Math"/>
            <w:lang w:val="en-US"/>
          </w:rPr>
          <m:t xml:space="preserve"> </m:t>
        </m:r>
      </m:oMath>
      <w:r w:rsidR="00170ED2">
        <w:rPr>
          <w:lang w:val="en-US"/>
        </w:rPr>
        <w:t>equal to the legacy subband size,</w:t>
      </w:r>
      <w:r w:rsidR="00095837" w:rsidRPr="00095837">
        <w:rPr>
          <w:lang w:val="en-US"/>
        </w:rPr>
        <w:t xml:space="preserve"> performance </w:t>
      </w:r>
      <w:r w:rsidR="00170ED2">
        <w:rPr>
          <w:lang w:val="en-US"/>
        </w:rPr>
        <w:t xml:space="preserve">is </w:t>
      </w:r>
      <w:r w:rsidR="00095837" w:rsidRPr="00095837">
        <w:rPr>
          <w:lang w:val="en-US"/>
        </w:rPr>
        <w:t>capped by Rel-15 performance</w:t>
      </w:r>
      <w:bookmarkEnd w:id="17"/>
    </w:p>
    <w:bookmarkStart w:id="18" w:name="_Toc528944819"/>
    <w:p w14:paraId="41941459" w14:textId="54034228" w:rsidR="00095837" w:rsidRPr="00095837" w:rsidRDefault="00800F08" w:rsidP="00170ED2">
      <w:pPr>
        <w:pStyle w:val="Observation"/>
        <w:rPr>
          <w:lang w:val="en-US"/>
        </w:rPr>
      </w:pPr>
      <m:oMath>
        <m:sSub>
          <m:sSubPr>
            <m:ctrlPr>
              <w:rPr>
                <w:rFonts w:ascii="Cambria Math" w:hAnsi="Cambria Math"/>
                <w:i/>
                <w:lang w:val="en-US"/>
              </w:rPr>
            </m:ctrlPr>
          </m:sSubPr>
          <m:e>
            <m:r>
              <m:rPr>
                <m:sty m:val="bi"/>
              </m:rPr>
              <w:rPr>
                <w:rFonts w:ascii="Cambria Math" w:hAnsi="Cambria Math"/>
                <w:lang w:val="en-US"/>
              </w:rPr>
              <m:t>S</m:t>
            </m:r>
          </m:e>
          <m:sub>
            <m:r>
              <m:rPr>
                <m:sty m:val="bi"/>
              </m:rPr>
              <w:rPr>
                <w:rFonts w:ascii="Cambria Math" w:hAnsi="Cambria Math"/>
                <w:lang w:val="en-US"/>
              </w:rPr>
              <m:t>PMI</m:t>
            </m:r>
          </m:sub>
        </m:sSub>
      </m:oMath>
      <w:r w:rsidR="00DE5C82">
        <w:rPr>
          <w:lang w:val="en-US"/>
        </w:rPr>
        <w:t xml:space="preserve"> equal to legacy subband size</w:t>
      </w:r>
      <w:r w:rsidR="00095837" w:rsidRPr="00095837">
        <w:rPr>
          <w:lang w:val="en-US"/>
        </w:rPr>
        <w:t xml:space="preserve"> has worse performance/overhead tradeoff than </w:t>
      </w:r>
      <m:oMath>
        <m:sSub>
          <m:sSubPr>
            <m:ctrlPr>
              <w:rPr>
                <w:rFonts w:ascii="Cambria Math" w:hAnsi="Cambria Math"/>
                <w:i/>
                <w:lang w:val="en-US"/>
              </w:rPr>
            </m:ctrlPr>
          </m:sSubPr>
          <m:e>
            <m:r>
              <m:rPr>
                <m:sty m:val="bi"/>
              </m:rPr>
              <w:rPr>
                <w:rFonts w:ascii="Cambria Math" w:hAnsi="Cambria Math"/>
                <w:lang w:val="en-US"/>
              </w:rPr>
              <m:t>S</m:t>
            </m:r>
          </m:e>
          <m:sub>
            <m:r>
              <m:rPr>
                <m:sty m:val="bi"/>
              </m:rPr>
              <w:rPr>
                <w:rFonts w:ascii="Cambria Math" w:hAnsi="Cambria Math"/>
                <w:lang w:val="en-US"/>
              </w:rPr>
              <m:t>PMI</m:t>
            </m:r>
          </m:sub>
        </m:sSub>
        <m:r>
          <m:rPr>
            <m:sty m:val="bi"/>
          </m:rPr>
          <w:rPr>
            <w:rFonts w:ascii="Cambria Math" w:hAnsi="Cambria Math"/>
            <w:lang w:val="en-US"/>
          </w:rPr>
          <m:t>=1</m:t>
        </m:r>
      </m:oMath>
      <w:r w:rsidR="00DE5C82">
        <w:rPr>
          <w:lang w:val="en-US"/>
        </w:rPr>
        <w:t xml:space="preserve"> PRB</w:t>
      </w:r>
      <w:bookmarkEnd w:id="18"/>
    </w:p>
    <w:p w14:paraId="68DD8028" w14:textId="77777777" w:rsidR="00095837" w:rsidRPr="00095837" w:rsidRDefault="00095837" w:rsidP="002E5DF1">
      <w:pPr>
        <w:pStyle w:val="Observation"/>
        <w:rPr>
          <w:lang w:val="en-US"/>
        </w:rPr>
      </w:pPr>
      <w:bookmarkStart w:id="19" w:name="_Toc528944820"/>
      <w:r w:rsidRPr="00095837">
        <w:rPr>
          <w:lang w:val="en-US"/>
        </w:rPr>
        <w:t>Similar performance/overhead tradeoff for common and independent basis</w:t>
      </w:r>
      <w:bookmarkEnd w:id="19"/>
    </w:p>
    <w:p w14:paraId="64B8CED8" w14:textId="77777777" w:rsidR="00095837" w:rsidRDefault="00095837" w:rsidP="00ED4681"/>
    <w:p w14:paraId="5FF517D9" w14:textId="77777777" w:rsidR="00560A81" w:rsidRDefault="00C83A41" w:rsidP="00387F57">
      <w:pPr>
        <w:jc w:val="center"/>
      </w:pPr>
      <w:r>
        <w:rPr>
          <w:noProof/>
        </w:rPr>
        <w:drawing>
          <wp:inline distT="0" distB="0" distL="0" distR="0" wp14:anchorId="3EA047D1" wp14:editId="0DA1DB02">
            <wp:extent cx="4562642" cy="26110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4036" cy="2617581"/>
                    </a:xfrm>
                    <a:prstGeom prst="rect">
                      <a:avLst/>
                    </a:prstGeom>
                    <a:noFill/>
                  </pic:spPr>
                </pic:pic>
              </a:graphicData>
            </a:graphic>
          </wp:inline>
        </w:drawing>
      </w:r>
    </w:p>
    <w:p w14:paraId="4E6BD1C4" w14:textId="7E22D9B6" w:rsidR="006E0985" w:rsidRDefault="00560A81" w:rsidP="00560A81">
      <w:pPr>
        <w:pStyle w:val="Caption"/>
        <w:jc w:val="center"/>
      </w:pPr>
      <w:r>
        <w:t xml:space="preserve">Figure </w:t>
      </w:r>
      <w:r w:rsidR="00800F08">
        <w:rPr>
          <w:noProof/>
        </w:rPr>
        <w:fldChar w:fldCharType="begin"/>
      </w:r>
      <w:r w:rsidR="00800F08">
        <w:rPr>
          <w:noProof/>
        </w:rPr>
        <w:instrText xml:space="preserve"> SEQ Figure \* ARABIC </w:instrText>
      </w:r>
      <w:r w:rsidR="00800F08">
        <w:rPr>
          <w:noProof/>
        </w:rPr>
        <w:fldChar w:fldCharType="separate"/>
      </w:r>
      <w:r>
        <w:rPr>
          <w:noProof/>
        </w:rPr>
        <w:t>3</w:t>
      </w:r>
      <w:r w:rsidR="00800F08">
        <w:rPr>
          <w:noProof/>
        </w:rPr>
        <w:fldChar w:fldCharType="end"/>
      </w:r>
      <w:r>
        <w:t xml:space="preserve">: Performance vs. overhead </w:t>
      </w:r>
      <w:proofErr w:type="spellStart"/>
      <w:r>
        <w:t>tradeoff</w:t>
      </w:r>
      <w:proofErr w:type="spellEnd"/>
      <w:r>
        <w:t xml:space="preserve"> for proposed Type II overhead reduction scheme for 100MHz BW</w:t>
      </w:r>
    </w:p>
    <w:p w14:paraId="48B45A4D" w14:textId="5D223AE6" w:rsidR="00560A81" w:rsidRDefault="00560A81" w:rsidP="006E0985">
      <w:pPr>
        <w:pStyle w:val="Observation"/>
        <w:numPr>
          <w:ilvl w:val="0"/>
          <w:numId w:val="0"/>
        </w:numPr>
        <w:ind w:left="1701" w:hanging="1701"/>
      </w:pPr>
    </w:p>
    <w:p w14:paraId="053A67E5" w14:textId="73752DAD" w:rsidR="00560A81" w:rsidRDefault="00560A81" w:rsidP="00387F57">
      <w:pPr>
        <w:jc w:val="center"/>
      </w:pPr>
      <w:r>
        <w:rPr>
          <w:noProof/>
        </w:rPr>
        <w:lastRenderedPageBreak/>
        <w:drawing>
          <wp:inline distT="0" distB="0" distL="0" distR="0" wp14:anchorId="3ABC1108" wp14:editId="09C96B72">
            <wp:extent cx="4566740" cy="274590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4476" cy="2750560"/>
                    </a:xfrm>
                    <a:prstGeom prst="rect">
                      <a:avLst/>
                    </a:prstGeom>
                    <a:noFill/>
                  </pic:spPr>
                </pic:pic>
              </a:graphicData>
            </a:graphic>
          </wp:inline>
        </w:drawing>
      </w:r>
    </w:p>
    <w:p w14:paraId="022FDAA2" w14:textId="51BCD5DF" w:rsidR="00560A81" w:rsidRDefault="00560A81" w:rsidP="00560A81">
      <w:pPr>
        <w:pStyle w:val="Caption"/>
        <w:jc w:val="center"/>
      </w:pPr>
      <w:r>
        <w:t xml:space="preserve">Figure 4: Performance vs. overhead </w:t>
      </w:r>
      <w:proofErr w:type="spellStart"/>
      <w:r>
        <w:t>tradeoff</w:t>
      </w:r>
      <w:proofErr w:type="spellEnd"/>
      <w:r>
        <w:t xml:space="preserve"> for proposed Type II overhead reduction scheme for 10MHz BW</w:t>
      </w:r>
    </w:p>
    <w:p w14:paraId="71664AFE" w14:textId="77777777" w:rsidR="00560A81" w:rsidRDefault="00560A81" w:rsidP="00560A81">
      <w:pPr>
        <w:pStyle w:val="Observation"/>
        <w:numPr>
          <w:ilvl w:val="0"/>
          <w:numId w:val="0"/>
        </w:numPr>
        <w:ind w:left="1701" w:hanging="1701"/>
        <w:jc w:val="center"/>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1B9A5C" w14:textId="5C201513" w:rsidR="00AE6590"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8944810" w:history="1">
        <w:r w:rsidR="00AE6590" w:rsidRPr="00F42A20">
          <w:rPr>
            <w:rStyle w:val="Hyperlink"/>
            <w:noProof/>
          </w:rPr>
          <w:t>Observation 1</w:t>
        </w:r>
        <w:r w:rsidR="00AE6590">
          <w:rPr>
            <w:rFonts w:asciiTheme="minorHAnsi" w:eastAsiaTheme="minorEastAsia" w:hAnsiTheme="minorHAnsi" w:cstheme="minorBidi"/>
            <w:b w:val="0"/>
            <w:noProof/>
            <w:sz w:val="22"/>
            <w:szCs w:val="22"/>
            <w:lang w:val="en-US" w:eastAsia="en-US"/>
          </w:rPr>
          <w:tab/>
        </w:r>
        <w:r w:rsidR="00AE6590" w:rsidRPr="00F42A20">
          <w:rPr>
            <w:rStyle w:val="Hyperlink"/>
            <w:noProof/>
          </w:rPr>
          <w:t>For 100 MHz NR carrier, the subband bandwidth is either 5,76 MHz (16 PRBs) or 11.52 MHz (32 PRBs)</w:t>
        </w:r>
      </w:hyperlink>
    </w:p>
    <w:p w14:paraId="6FFDA1FF" w14:textId="7789A8B2"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1" w:history="1">
        <w:r w:rsidRPr="00F42A20">
          <w:rPr>
            <w:rStyle w:val="Hyperlink"/>
            <w:noProof/>
          </w:rPr>
          <w:t>Observation 2</w:t>
        </w:r>
        <w:r>
          <w:rPr>
            <w:rFonts w:asciiTheme="minorHAnsi" w:eastAsiaTheme="minorEastAsia" w:hAnsiTheme="minorHAnsi" w:cstheme="minorBidi"/>
            <w:b w:val="0"/>
            <w:noProof/>
            <w:sz w:val="22"/>
            <w:szCs w:val="22"/>
            <w:lang w:val="en-US" w:eastAsia="en-US"/>
          </w:rPr>
          <w:tab/>
        </w:r>
        <w:r w:rsidRPr="00F42A20">
          <w:rPr>
            <w:rStyle w:val="Hyperlink"/>
            <w:noProof/>
          </w:rPr>
          <w:t>In legacy subband-based CSI reporting mechanism, even though the UE can observe the channel state on an RB-level granularity, it can only convey the CSI on a subband-level granularity,</w:t>
        </w:r>
      </w:hyperlink>
    </w:p>
    <w:p w14:paraId="703CA706" w14:textId="2FDD9EBD"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2" w:history="1">
        <w:r w:rsidRPr="00F42A20">
          <w:rPr>
            <w:rStyle w:val="Hyperlink"/>
            <w:noProof/>
          </w:rPr>
          <w:t>Observation 3</w:t>
        </w:r>
        <w:r>
          <w:rPr>
            <w:rFonts w:asciiTheme="minorHAnsi" w:eastAsiaTheme="minorEastAsia" w:hAnsiTheme="minorHAnsi" w:cstheme="minorBidi"/>
            <w:b w:val="0"/>
            <w:noProof/>
            <w:sz w:val="22"/>
            <w:szCs w:val="22"/>
            <w:lang w:val="en-US" w:eastAsia="en-US"/>
          </w:rPr>
          <w:tab/>
        </w:r>
        <w:r w:rsidRPr="00F42A20">
          <w:rPr>
            <w:rStyle w:val="Hyperlink"/>
            <w:noProof/>
            <w:lang w:val="en-US"/>
          </w:rPr>
          <w:t>Since different beam basis vectors may correspond to channel multi-path components with different delays, the relative phase between beam phase coefficients may change rapidly over frequency. If beam phase coefficients are averaged over large subbands, the phase change is averaged out and poor CSI resolution is attained.</w:t>
        </w:r>
      </w:hyperlink>
    </w:p>
    <w:p w14:paraId="61E086E4" w14:textId="29AE90E6"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3" w:history="1">
        <w:r w:rsidRPr="00F42A20">
          <w:rPr>
            <w:rStyle w:val="Hyperlink"/>
            <w:noProof/>
          </w:rPr>
          <w:t>Observation 4</w:t>
        </w:r>
        <w:r>
          <w:rPr>
            <w:rFonts w:asciiTheme="minorHAnsi" w:eastAsiaTheme="minorEastAsia" w:hAnsiTheme="minorHAnsi" w:cstheme="minorBidi"/>
            <w:b w:val="0"/>
            <w:noProof/>
            <w:sz w:val="22"/>
            <w:szCs w:val="22"/>
            <w:lang w:val="en-US" w:eastAsia="en-US"/>
          </w:rPr>
          <w:tab/>
        </w:r>
        <w:r w:rsidRPr="00F42A20">
          <w:rPr>
            <w:rStyle w:val="Hyperlink"/>
            <w:noProof/>
          </w:rPr>
          <w:t>Frequency-parametrization based coefficient quantization can achieve RB-level CSI granularity</w:t>
        </w:r>
      </w:hyperlink>
    </w:p>
    <w:p w14:paraId="7DA3C073" w14:textId="093ECD8F"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4" w:history="1">
        <w:r w:rsidRPr="00F42A20">
          <w:rPr>
            <w:rStyle w:val="Hyperlink"/>
            <w:noProof/>
          </w:rPr>
          <w:t>Observation 5</w:t>
        </w:r>
        <w:r>
          <w:rPr>
            <w:rFonts w:asciiTheme="minorHAnsi" w:eastAsiaTheme="minorEastAsia" w:hAnsiTheme="minorHAnsi" w:cstheme="minorBidi"/>
            <w:b w:val="0"/>
            <w:noProof/>
            <w:sz w:val="22"/>
            <w:szCs w:val="22"/>
            <w:lang w:val="en-US" w:eastAsia="en-US"/>
          </w:rPr>
          <w:tab/>
        </w:r>
        <w:r w:rsidRPr="00F42A20">
          <w:rPr>
            <w:rStyle w:val="Hyperlink"/>
            <w:noProof/>
          </w:rPr>
          <w:t>PMI granularity smaller than the PRG size may be unnecessary</w:t>
        </w:r>
      </w:hyperlink>
    </w:p>
    <w:p w14:paraId="0E1B0400" w14:textId="1C66FE5F"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5" w:history="1">
        <w:r w:rsidRPr="00F42A20">
          <w:rPr>
            <w:rStyle w:val="Hyperlink"/>
            <w:noProof/>
          </w:rPr>
          <w:t>Observation 6</w:t>
        </w:r>
        <w:r>
          <w:rPr>
            <w:rFonts w:asciiTheme="minorHAnsi" w:eastAsiaTheme="minorEastAsia" w:hAnsiTheme="minorHAnsi" w:cstheme="minorBidi"/>
            <w:b w:val="0"/>
            <w:noProof/>
            <w:sz w:val="22"/>
            <w:szCs w:val="22"/>
            <w:lang w:val="en-US" w:eastAsia="en-US"/>
          </w:rPr>
          <w:tab/>
        </w:r>
        <w:r w:rsidRPr="00F42A20">
          <w:rPr>
            <w:rStyle w:val="Hyperlink"/>
            <w:noProof/>
          </w:rPr>
          <w:t>NR and LTE already supports different granularities for PMI and CQI calculation, since wideband CQI can be configured with subband PMI</w:t>
        </w:r>
      </w:hyperlink>
    </w:p>
    <w:p w14:paraId="3D75302B" w14:textId="4F8D91E7"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6" w:history="1">
        <w:r w:rsidRPr="00F42A20">
          <w:rPr>
            <w:rStyle w:val="Hyperlink"/>
            <w:noProof/>
            <w:lang w:eastAsia="en-GB"/>
          </w:rPr>
          <w:t>Observation 7</w:t>
        </w:r>
        <w:r>
          <w:rPr>
            <w:rFonts w:asciiTheme="minorHAnsi" w:eastAsiaTheme="minorEastAsia" w:hAnsiTheme="minorHAnsi" w:cstheme="minorBidi"/>
            <w:b w:val="0"/>
            <w:noProof/>
            <w:sz w:val="22"/>
            <w:szCs w:val="22"/>
            <w:lang w:val="en-US" w:eastAsia="en-US"/>
          </w:rPr>
          <w:tab/>
        </w:r>
        <w:r w:rsidRPr="00F42A20">
          <w:rPr>
            <w:rStyle w:val="Hyperlink"/>
            <w:noProof/>
            <w:lang w:eastAsia="en-GB"/>
          </w:rPr>
          <w:t>Rel-15 subband based Type II CSI feedback is a special case of frequency-parametrization</w:t>
        </w:r>
      </w:hyperlink>
    </w:p>
    <w:p w14:paraId="53C5B5FD" w14:textId="335F5475"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7" w:history="1">
        <w:r w:rsidRPr="00F42A20">
          <w:rPr>
            <w:rStyle w:val="Hyperlink"/>
            <w:noProof/>
            <w:lang w:eastAsia="en-GB"/>
          </w:rPr>
          <w:t>Observation 8</w:t>
        </w:r>
        <w:r>
          <w:rPr>
            <w:rFonts w:asciiTheme="minorHAnsi" w:eastAsiaTheme="minorEastAsia" w:hAnsiTheme="minorHAnsi" w:cstheme="minorBidi"/>
            <w:b w:val="0"/>
            <w:noProof/>
            <w:sz w:val="22"/>
            <w:szCs w:val="22"/>
            <w:lang w:val="en-US" w:eastAsia="en-US"/>
          </w:rPr>
          <w:tab/>
        </w:r>
        <w:r w:rsidRPr="00F42A20">
          <w:rPr>
            <w:rStyle w:val="Hyperlink"/>
            <w:noProof/>
            <w:lang w:eastAsia="en-GB"/>
          </w:rPr>
          <w:t>A space-frequency matrix representation is one possible way to visualize frequency-parametrization based on linear transformation</w:t>
        </w:r>
      </w:hyperlink>
    </w:p>
    <w:p w14:paraId="62E398FA" w14:textId="56C0FB5A"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8" w:history="1">
        <w:r w:rsidRPr="00F42A20">
          <w:rPr>
            <w:rStyle w:val="Hyperlink"/>
            <w:noProof/>
            <w:lang w:val="en-US"/>
          </w:rPr>
          <w:t>Observation 9</w:t>
        </w:r>
        <w:r>
          <w:rPr>
            <w:rFonts w:asciiTheme="minorHAnsi" w:eastAsiaTheme="minorEastAsia" w:hAnsiTheme="minorHAnsi" w:cstheme="minorBidi"/>
            <w:b w:val="0"/>
            <w:noProof/>
            <w:sz w:val="22"/>
            <w:szCs w:val="22"/>
            <w:lang w:val="en-US" w:eastAsia="en-US"/>
          </w:rPr>
          <w:tab/>
        </w:r>
        <m:oMath>
          <m:r>
            <m:rPr>
              <m:sty m:val="bi"/>
            </m:rPr>
            <w:rPr>
              <w:rStyle w:val="Hyperlink"/>
              <w:rFonts w:ascii="Cambria Math" w:hAnsi="Cambria Math"/>
              <w:noProof/>
              <w:lang w:val="en-US"/>
            </w:rPr>
            <m:t>SPMI=1</m:t>
          </m:r>
        </m:oMath>
        <w:r w:rsidRPr="00F42A20">
          <w:rPr>
            <w:rStyle w:val="Hyperlink"/>
            <w:noProof/>
            <w:lang w:val="en-US"/>
          </w:rPr>
          <w:t xml:space="preserve"> PRB can simultaneously improve performance and reduce overhead, while for </w:t>
        </w:r>
        <m:oMath>
          <m:r>
            <m:rPr>
              <m:sty m:val="bi"/>
            </m:rPr>
            <w:rPr>
              <w:rStyle w:val="Hyperlink"/>
              <w:rFonts w:ascii="Cambria Math" w:hAnsi="Cambria Math"/>
              <w:noProof/>
              <w:lang w:val="en-US"/>
            </w:rPr>
            <m:t xml:space="preserve">SPMI </m:t>
          </m:r>
        </m:oMath>
        <w:r w:rsidRPr="00F42A20">
          <w:rPr>
            <w:rStyle w:val="Hyperlink"/>
            <w:noProof/>
            <w:lang w:val="en-US"/>
          </w:rPr>
          <w:t>equal to the legacy subband size, performance is capped by Rel-15 performance</w:t>
        </w:r>
      </w:hyperlink>
    </w:p>
    <w:p w14:paraId="5070A881" w14:textId="39FF96C9"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19" w:history="1">
        <w:r w:rsidRPr="00F42A20">
          <w:rPr>
            <w:rStyle w:val="Hyperlink"/>
            <w:noProof/>
            <w:lang w:val="en-US"/>
          </w:rPr>
          <w:t>Observation 10</w:t>
        </w:r>
        <w:r>
          <w:rPr>
            <w:rFonts w:asciiTheme="minorHAnsi" w:eastAsiaTheme="minorEastAsia" w:hAnsiTheme="minorHAnsi" w:cstheme="minorBidi"/>
            <w:b w:val="0"/>
            <w:noProof/>
            <w:sz w:val="22"/>
            <w:szCs w:val="22"/>
            <w:lang w:val="en-US" w:eastAsia="en-US"/>
          </w:rPr>
          <w:tab/>
        </w:r>
        <m:oMath>
          <m:r>
            <m:rPr>
              <m:sty m:val="bi"/>
            </m:rPr>
            <w:rPr>
              <w:rStyle w:val="Hyperlink"/>
              <w:rFonts w:ascii="Cambria Math" w:hAnsi="Cambria Math"/>
              <w:noProof/>
              <w:lang w:val="en-US"/>
            </w:rPr>
            <m:t>SPMI</m:t>
          </m:r>
        </m:oMath>
        <w:r w:rsidRPr="00F42A20">
          <w:rPr>
            <w:rStyle w:val="Hyperlink"/>
            <w:noProof/>
            <w:lang w:val="en-US"/>
          </w:rPr>
          <w:t xml:space="preserve"> equal to legacy subband size has worse performance/overhead tradeoff than </w:t>
        </w:r>
        <m:oMath>
          <m:r>
            <m:rPr>
              <m:sty m:val="bi"/>
            </m:rPr>
            <w:rPr>
              <w:rStyle w:val="Hyperlink"/>
              <w:rFonts w:ascii="Cambria Math" w:hAnsi="Cambria Math"/>
              <w:noProof/>
              <w:lang w:val="en-US"/>
            </w:rPr>
            <m:t>SPMI=1</m:t>
          </m:r>
        </m:oMath>
        <w:r w:rsidRPr="00F42A20">
          <w:rPr>
            <w:rStyle w:val="Hyperlink"/>
            <w:noProof/>
            <w:lang w:val="en-US"/>
          </w:rPr>
          <w:t xml:space="preserve"> PRB</w:t>
        </w:r>
      </w:hyperlink>
    </w:p>
    <w:p w14:paraId="0CFD361B" w14:textId="7E107E18"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20" w:history="1">
        <w:r w:rsidRPr="00F42A20">
          <w:rPr>
            <w:rStyle w:val="Hyperlink"/>
            <w:noProof/>
            <w:lang w:val="en-US"/>
          </w:rPr>
          <w:t>Observation 11</w:t>
        </w:r>
        <w:r>
          <w:rPr>
            <w:rFonts w:asciiTheme="minorHAnsi" w:eastAsiaTheme="minorEastAsia" w:hAnsiTheme="minorHAnsi" w:cstheme="minorBidi"/>
            <w:b w:val="0"/>
            <w:noProof/>
            <w:sz w:val="22"/>
            <w:szCs w:val="22"/>
            <w:lang w:val="en-US" w:eastAsia="en-US"/>
          </w:rPr>
          <w:tab/>
        </w:r>
        <w:r w:rsidRPr="00F42A20">
          <w:rPr>
            <w:rStyle w:val="Hyperlink"/>
            <w:noProof/>
            <w:lang w:val="en-US"/>
          </w:rPr>
          <w:t>Similar performance/overhead tradeoff for common and independent basis</w:t>
        </w:r>
      </w:hyperlink>
    </w:p>
    <w:p w14:paraId="191C0980" w14:textId="3BEBA4BC"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52D591EB" w14:textId="717DA89E" w:rsidR="00AE6590"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28944804" w:history="1">
        <w:r w:rsidR="00AE6590" w:rsidRPr="00644CBE">
          <w:rPr>
            <w:rStyle w:val="Hyperlink"/>
            <w:noProof/>
          </w:rPr>
          <w:t>Proposal 1</w:t>
        </w:r>
        <w:r w:rsidR="00AE6590">
          <w:rPr>
            <w:rFonts w:asciiTheme="minorHAnsi" w:eastAsiaTheme="minorEastAsia" w:hAnsiTheme="minorHAnsi" w:cstheme="minorBidi"/>
            <w:b w:val="0"/>
            <w:noProof/>
            <w:sz w:val="22"/>
            <w:szCs w:val="22"/>
            <w:lang w:val="en-US" w:eastAsia="en-US"/>
          </w:rPr>
          <w:tab/>
        </w:r>
        <w:r w:rsidR="00AE6590" w:rsidRPr="00644CBE">
          <w:rPr>
            <w:rStyle w:val="Hyperlink"/>
            <w:noProof/>
          </w:rPr>
          <w:t>Consider frequency-parametrization based feedback as a candidate scheme for Type II overhead reduction</w:t>
        </w:r>
      </w:hyperlink>
    </w:p>
    <w:p w14:paraId="664BD416" w14:textId="20E7115A"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05" w:history="1">
        <w:r w:rsidRPr="00644CBE">
          <w:rPr>
            <w:rStyle w:val="Hyperlink"/>
            <w:noProof/>
          </w:rPr>
          <w:t>Proposal 2</w:t>
        </w:r>
        <w:r>
          <w:rPr>
            <w:rFonts w:asciiTheme="minorHAnsi" w:eastAsiaTheme="minorEastAsia" w:hAnsiTheme="minorHAnsi" w:cstheme="minorBidi"/>
            <w:b w:val="0"/>
            <w:noProof/>
            <w:sz w:val="22"/>
            <w:szCs w:val="22"/>
            <w:lang w:val="en-US" w:eastAsia="en-US"/>
          </w:rPr>
          <w:tab/>
        </w:r>
        <w:r w:rsidRPr="00644CBE">
          <w:rPr>
            <w:rStyle w:val="Hyperlink"/>
            <w:noProof/>
          </w:rPr>
          <w:t>For Rel-16 e-Type II CSI, consider introducing separate subband size for PMI and CQI, where the subband size for PMI could correspond to {1,2,4} PRBs. FFS if this needs to be configurable or if a fixed value can be used.</w:t>
        </w:r>
      </w:hyperlink>
    </w:p>
    <w:p w14:paraId="06144988" w14:textId="77E5F6A5"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06" w:history="1">
        <w:r w:rsidRPr="00644CBE">
          <w:rPr>
            <w:rStyle w:val="Hyperlink"/>
            <w:noProof/>
          </w:rPr>
          <w:t>Proposal 3</w:t>
        </w:r>
        <w:r>
          <w:rPr>
            <w:rFonts w:asciiTheme="minorHAnsi" w:eastAsiaTheme="minorEastAsia" w:hAnsiTheme="minorHAnsi" w:cstheme="minorBidi"/>
            <w:b w:val="0"/>
            <w:noProof/>
            <w:sz w:val="22"/>
            <w:szCs w:val="22"/>
            <w:lang w:val="en-US" w:eastAsia="en-US"/>
          </w:rPr>
          <w:tab/>
        </w:r>
        <w:r w:rsidRPr="00644CBE">
          <w:rPr>
            <w:rStyle w:val="Hyperlink"/>
            <w:noProof/>
          </w:rPr>
          <w:t xml:space="preserve">Consider the above formulation as a generic structure for enhanced Type II </w:t>
        </w:r>
        <w:bookmarkStart w:id="20" w:name="_GoBack"/>
        <w:bookmarkEnd w:id="20"/>
        <w:r w:rsidRPr="00644CBE">
          <w:rPr>
            <w:rStyle w:val="Hyperlink"/>
            <w:noProof/>
          </w:rPr>
          <w:t>codebook</w:t>
        </w:r>
      </w:hyperlink>
    </w:p>
    <w:p w14:paraId="53558B58" w14:textId="0663CB9F"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07" w:history="1">
        <w:r w:rsidRPr="00644CBE">
          <w:rPr>
            <w:rStyle w:val="Hyperlink"/>
            <w:noProof/>
          </w:rPr>
          <w:t>Proposal 4</w:t>
        </w:r>
        <w:r>
          <w:rPr>
            <w:rFonts w:asciiTheme="minorHAnsi" w:eastAsiaTheme="minorEastAsia" w:hAnsiTheme="minorHAnsi" w:cstheme="minorBidi"/>
            <w:b w:val="0"/>
            <w:noProof/>
            <w:sz w:val="22"/>
            <w:szCs w:val="22"/>
            <w:lang w:val="en-US" w:eastAsia="en-US"/>
          </w:rPr>
          <w:tab/>
        </w:r>
        <w:r w:rsidRPr="00644CBE">
          <w:rPr>
            <w:rStyle w:val="Hyperlink"/>
            <w:noProof/>
          </w:rPr>
          <w:t>Re-use spatial-domain compression structure from Rel-15 Type II, with L orthogonal DFT beam selected from rotated 2D-DFT basis</w:t>
        </w:r>
      </w:hyperlink>
    </w:p>
    <w:p w14:paraId="13CF9DDE" w14:textId="0AE33539"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08" w:history="1">
        <w:r w:rsidRPr="00644CBE">
          <w:rPr>
            <w:rStyle w:val="Hyperlink"/>
            <w:noProof/>
            <w:lang w:eastAsia="en-GB"/>
          </w:rPr>
          <w:t>Proposal 5</w:t>
        </w:r>
        <w:r>
          <w:rPr>
            <w:rFonts w:asciiTheme="minorHAnsi" w:eastAsiaTheme="minorEastAsia" w:hAnsiTheme="minorHAnsi" w:cstheme="minorBidi"/>
            <w:b w:val="0"/>
            <w:noProof/>
            <w:sz w:val="22"/>
            <w:szCs w:val="22"/>
            <w:lang w:val="en-US" w:eastAsia="en-US"/>
          </w:rPr>
          <w:tab/>
        </w:r>
        <w:r w:rsidRPr="00644CBE">
          <w:rPr>
            <w:rStyle w:val="Hyperlink"/>
            <w:noProof/>
          </w:rPr>
          <w:t>For frequency-domain basis, consider a DFT basis consisting of size-</w:t>
        </w:r>
        <m:oMath>
          <m:r>
            <m:rPr>
              <m:sty m:val="bi"/>
            </m:rPr>
            <w:rPr>
              <w:rStyle w:val="Hyperlink"/>
              <w:rFonts w:ascii="Cambria Math" w:hAnsi="Cambria Math"/>
              <w:noProof/>
            </w:rPr>
            <m:t>NPRBSPMI×1</m:t>
          </m:r>
        </m:oMath>
        <w:r w:rsidRPr="00644CBE">
          <w:rPr>
            <w:rStyle w:val="Hyperlink"/>
            <w:noProof/>
          </w:rPr>
          <w:t xml:space="preserve"> basis vectors, where</w:t>
        </w:r>
        <m:oMath>
          <m:r>
            <m:rPr>
              <m:sty m:val="bi"/>
            </m:rPr>
            <w:rPr>
              <w:rStyle w:val="Hyperlink"/>
              <w:rFonts w:ascii="Cambria Math" w:hAnsi="Cambria Math"/>
              <w:noProof/>
            </w:rPr>
            <m:t xml:space="preserve"> SPMI∈{1,2,4}</m:t>
          </m:r>
        </m:oMath>
        <w:r w:rsidRPr="00644CBE">
          <w:rPr>
            <w:rStyle w:val="Hyperlink"/>
            <w:noProof/>
          </w:rPr>
          <w:t xml:space="preserve"> is the subband size for PMI</w:t>
        </w:r>
      </w:hyperlink>
    </w:p>
    <w:p w14:paraId="1EE7FA88" w14:textId="6DA7A9B4" w:rsidR="00AE6590" w:rsidRDefault="00AE659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44809" w:history="1">
        <w:r w:rsidRPr="00644CBE">
          <w:rPr>
            <w:rStyle w:val="Hyperlink"/>
            <w:noProof/>
            <w:lang w:val="en-US"/>
          </w:rPr>
          <w:t>Proposal 6</w:t>
        </w:r>
        <w:r>
          <w:rPr>
            <w:rFonts w:asciiTheme="minorHAnsi" w:eastAsiaTheme="minorEastAsia" w:hAnsiTheme="minorHAnsi" w:cstheme="minorBidi"/>
            <w:b w:val="0"/>
            <w:noProof/>
            <w:sz w:val="22"/>
            <w:szCs w:val="22"/>
            <w:lang w:val="en-US" w:eastAsia="en-US"/>
          </w:rPr>
          <w:tab/>
        </w:r>
        <w:r w:rsidRPr="00644CBE">
          <w:rPr>
            <w:rStyle w:val="Hyperlink"/>
            <w:noProof/>
            <w:lang w:val="en-US"/>
          </w:rPr>
          <w:t>Study further methods for</w:t>
        </w:r>
        <w:r w:rsidRPr="00644CBE">
          <w:rPr>
            <w:rStyle w:val="Hyperlink"/>
            <w:noProof/>
            <w:lang w:eastAsia="en-GB"/>
          </w:rPr>
          <w:t xml:space="preserve"> selection of the frequency-domain basis vectors and quantization and reporting of the coefficients</w:t>
        </w:r>
      </w:hyperlink>
    </w:p>
    <w:p w14:paraId="4D60436A" w14:textId="0447D57B" w:rsidR="00C01F33" w:rsidRPr="00CE0424" w:rsidRDefault="006E1C82" w:rsidP="006E062C">
      <w:r>
        <w:rPr>
          <w:b/>
          <w:bCs/>
          <w:lang w:val="en-US"/>
        </w:rPr>
        <w:fldChar w:fldCharType="end"/>
      </w:r>
    </w:p>
    <w:p w14:paraId="0107106E" w14:textId="77777777" w:rsidR="00F507D1" w:rsidRPr="00CE0424" w:rsidRDefault="00F507D1" w:rsidP="00CE0424">
      <w:pPr>
        <w:pStyle w:val="Heading1"/>
      </w:pPr>
      <w:bookmarkStart w:id="21" w:name="_In-sequence_SDU_delivery"/>
      <w:bookmarkEnd w:id="21"/>
      <w:r w:rsidRPr="00CE0424">
        <w:t>References</w:t>
      </w:r>
    </w:p>
    <w:p w14:paraId="0028F7F0" w14:textId="05EF8280" w:rsidR="003A7EF3" w:rsidRDefault="009F3FC3" w:rsidP="009F3FC3">
      <w:pPr>
        <w:pStyle w:val="Reference"/>
      </w:pPr>
      <w:r>
        <w:t>RP-182067,</w:t>
      </w:r>
      <w:r>
        <w:tab/>
        <w:t>“</w:t>
      </w:r>
      <w:r w:rsidRPr="009F3FC3">
        <w:t>Revised WID: Enhancements on MIMO for NR</w:t>
      </w:r>
      <w:r>
        <w:t>”,</w:t>
      </w:r>
      <w:r>
        <w:tab/>
        <w:t>3GPP TSG RAN Meeting #81, Gold Coast, Australia, Sept 10 - 13, 2018</w:t>
      </w:r>
      <w:r>
        <w:tab/>
      </w:r>
    </w:p>
    <w:p w14:paraId="506E2AA9" w14:textId="7E999D61" w:rsidR="006D6BF9" w:rsidRDefault="00961ADC" w:rsidP="006D6BF9">
      <w:pPr>
        <w:pStyle w:val="Reference"/>
      </w:pPr>
      <w:r>
        <w:t>“</w:t>
      </w:r>
      <w:r w:rsidR="006D6BF9">
        <w:t>Chairman’s notes</w:t>
      </w:r>
      <w:r>
        <w:t>”</w:t>
      </w:r>
      <w:r w:rsidR="006D6BF9">
        <w:t xml:space="preserve">, RAN1#94bis, Chengdu, China, October </w:t>
      </w:r>
      <w:r>
        <w:t>2018</w:t>
      </w:r>
    </w:p>
    <w:p w14:paraId="3809BA46" w14:textId="357AB793" w:rsidR="007608DF" w:rsidRDefault="007A516A" w:rsidP="007A516A">
      <w:pPr>
        <w:pStyle w:val="Heading1"/>
      </w:pPr>
      <w:r>
        <w:t>Appendix</w:t>
      </w:r>
    </w:p>
    <w:p w14:paraId="12DDD117" w14:textId="193D5988" w:rsidR="007A516A" w:rsidRPr="0033781A" w:rsidRDefault="007A516A" w:rsidP="007A516A">
      <w:pPr>
        <w:jc w:val="center"/>
        <w:rPr>
          <w:b/>
          <w:sz w:val="22"/>
        </w:rPr>
      </w:pPr>
      <w:r w:rsidRPr="00477492">
        <w:rPr>
          <w:b/>
        </w:rPr>
        <w:t xml:space="preserve">Table </w:t>
      </w:r>
      <w:r>
        <w:rPr>
          <w:b/>
        </w:rPr>
        <w:t>1:</w:t>
      </w:r>
      <w:r w:rsidRPr="001E20EE">
        <w:t xml:space="preserve"> </w:t>
      </w:r>
      <w:r>
        <w:t xml:space="preserve">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7A516A" w:rsidRPr="00684DDC" w14:paraId="193AD46B" w14:textId="77777777" w:rsidTr="002A540C">
        <w:tc>
          <w:tcPr>
            <w:tcW w:w="3121" w:type="dxa"/>
            <w:shd w:val="clear" w:color="auto" w:fill="D9D9D9"/>
            <w:tcMar>
              <w:top w:w="72" w:type="dxa"/>
              <w:left w:w="144" w:type="dxa"/>
              <w:bottom w:w="72" w:type="dxa"/>
              <w:right w:w="144" w:type="dxa"/>
            </w:tcMar>
            <w:hideMark/>
          </w:tcPr>
          <w:p w14:paraId="62AB2124" w14:textId="77777777" w:rsidR="007A516A" w:rsidRPr="0033781A" w:rsidRDefault="007A516A" w:rsidP="002A540C">
            <w:pPr>
              <w:spacing w:line="240" w:lineRule="atLeast"/>
              <w:contextualSpacing/>
            </w:pPr>
            <w:r>
              <w:rPr>
                <w:b/>
                <w:bCs/>
              </w:rPr>
              <w:t>Parameter</w:t>
            </w:r>
          </w:p>
        </w:tc>
        <w:tc>
          <w:tcPr>
            <w:tcW w:w="6154" w:type="dxa"/>
            <w:shd w:val="clear" w:color="auto" w:fill="D9D9D9"/>
            <w:tcMar>
              <w:top w:w="72" w:type="dxa"/>
              <w:left w:w="144" w:type="dxa"/>
              <w:bottom w:w="72" w:type="dxa"/>
              <w:right w:w="144" w:type="dxa"/>
            </w:tcMar>
            <w:hideMark/>
          </w:tcPr>
          <w:p w14:paraId="5A2359DA" w14:textId="77777777" w:rsidR="007A516A" w:rsidRPr="0033781A" w:rsidRDefault="007A516A" w:rsidP="002A540C">
            <w:pPr>
              <w:spacing w:line="240" w:lineRule="atLeast"/>
              <w:contextualSpacing/>
            </w:pPr>
            <w:r>
              <w:rPr>
                <w:b/>
                <w:bCs/>
              </w:rPr>
              <w:t>Value</w:t>
            </w:r>
          </w:p>
        </w:tc>
      </w:tr>
      <w:tr w:rsidR="007A516A" w:rsidRPr="00684DDC" w14:paraId="78BA0691" w14:textId="77777777" w:rsidTr="002A540C">
        <w:tc>
          <w:tcPr>
            <w:tcW w:w="3121" w:type="dxa"/>
            <w:shd w:val="clear" w:color="auto" w:fill="auto"/>
            <w:tcMar>
              <w:top w:w="72" w:type="dxa"/>
              <w:left w:w="144" w:type="dxa"/>
              <w:bottom w:w="72" w:type="dxa"/>
              <w:right w:w="144" w:type="dxa"/>
            </w:tcMar>
            <w:hideMark/>
          </w:tcPr>
          <w:p w14:paraId="00F3C6A5" w14:textId="77777777" w:rsidR="007A516A" w:rsidRPr="0033781A" w:rsidRDefault="007A516A" w:rsidP="002A540C">
            <w:pPr>
              <w:spacing w:line="240" w:lineRule="atLeast"/>
              <w:contextualSpacing/>
            </w:pPr>
            <w:r>
              <w:t xml:space="preserve">Duplex, </w:t>
            </w:r>
            <w:r w:rsidRPr="0033781A">
              <w:t xml:space="preserve">Waveform </w:t>
            </w:r>
          </w:p>
        </w:tc>
        <w:tc>
          <w:tcPr>
            <w:tcW w:w="6154" w:type="dxa"/>
            <w:shd w:val="clear" w:color="auto" w:fill="auto"/>
            <w:tcMar>
              <w:top w:w="72" w:type="dxa"/>
              <w:left w:w="144" w:type="dxa"/>
              <w:bottom w:w="72" w:type="dxa"/>
              <w:right w:w="144" w:type="dxa"/>
            </w:tcMar>
            <w:hideMark/>
          </w:tcPr>
          <w:p w14:paraId="23185D25" w14:textId="66499421" w:rsidR="007A516A" w:rsidRPr="00911177" w:rsidRDefault="007A516A" w:rsidP="002A540C">
            <w:pPr>
              <w:spacing w:line="240" w:lineRule="atLeast"/>
              <w:contextualSpacing/>
            </w:pPr>
            <w:r w:rsidRPr="00911177">
              <w:t>FDD</w:t>
            </w:r>
            <w:r>
              <w:t xml:space="preserve">, </w:t>
            </w:r>
            <w:r w:rsidRPr="00911177">
              <w:t xml:space="preserve">OFDM </w:t>
            </w:r>
          </w:p>
        </w:tc>
      </w:tr>
      <w:tr w:rsidR="007A516A" w:rsidRPr="00684DDC" w14:paraId="5A77D311" w14:textId="77777777" w:rsidTr="002A540C">
        <w:tc>
          <w:tcPr>
            <w:tcW w:w="3121" w:type="dxa"/>
            <w:shd w:val="clear" w:color="auto" w:fill="auto"/>
            <w:tcMar>
              <w:top w:w="72" w:type="dxa"/>
              <w:left w:w="144" w:type="dxa"/>
              <w:bottom w:w="72" w:type="dxa"/>
              <w:right w:w="144" w:type="dxa"/>
            </w:tcMar>
          </w:tcPr>
          <w:p w14:paraId="7E5A79FA" w14:textId="77777777" w:rsidR="007A516A" w:rsidRPr="0033781A" w:rsidRDefault="007A516A" w:rsidP="002A540C">
            <w:pPr>
              <w:spacing w:line="240" w:lineRule="atLeast"/>
              <w:contextualSpacing/>
            </w:pPr>
            <w:r w:rsidRPr="0033781A">
              <w:rPr>
                <w:rFonts w:hint="eastAsia"/>
              </w:rPr>
              <w:t>Scenario</w:t>
            </w:r>
          </w:p>
        </w:tc>
        <w:tc>
          <w:tcPr>
            <w:tcW w:w="6154" w:type="dxa"/>
            <w:shd w:val="clear" w:color="auto" w:fill="auto"/>
            <w:tcMar>
              <w:top w:w="72" w:type="dxa"/>
              <w:left w:w="144" w:type="dxa"/>
              <w:bottom w:w="72" w:type="dxa"/>
              <w:right w:w="144" w:type="dxa"/>
            </w:tcMar>
          </w:tcPr>
          <w:p w14:paraId="42B2A52F" w14:textId="28CDF1B2" w:rsidR="007A516A" w:rsidRPr="00911177" w:rsidRDefault="007A516A" w:rsidP="007A516A">
            <w:pPr>
              <w:spacing w:line="240" w:lineRule="atLeast"/>
              <w:contextualSpacing/>
              <w:rPr>
                <w:snapToGrid w:val="0"/>
              </w:rPr>
            </w:pPr>
            <w:r w:rsidRPr="00911177">
              <w:rPr>
                <w:snapToGrid w:val="0"/>
              </w:rPr>
              <w:t xml:space="preserve">Dense Urban (Macro only) </w:t>
            </w:r>
          </w:p>
        </w:tc>
      </w:tr>
      <w:tr w:rsidR="007A516A" w:rsidRPr="00684DDC" w14:paraId="042D5178" w14:textId="77777777" w:rsidTr="002A540C">
        <w:tc>
          <w:tcPr>
            <w:tcW w:w="3121" w:type="dxa"/>
            <w:shd w:val="clear" w:color="auto" w:fill="auto"/>
            <w:tcMar>
              <w:top w:w="72" w:type="dxa"/>
              <w:left w:w="144" w:type="dxa"/>
              <w:bottom w:w="72" w:type="dxa"/>
              <w:right w:w="144" w:type="dxa"/>
            </w:tcMar>
          </w:tcPr>
          <w:p w14:paraId="41E90898" w14:textId="7F91F6B8" w:rsidR="007A516A" w:rsidRPr="0033781A" w:rsidRDefault="007A516A" w:rsidP="002A540C">
            <w:pPr>
              <w:spacing w:line="240" w:lineRule="atLeast"/>
              <w:contextualSpacing/>
            </w:pPr>
            <w:r>
              <w:t>Carrier frequency</w:t>
            </w:r>
          </w:p>
        </w:tc>
        <w:tc>
          <w:tcPr>
            <w:tcW w:w="6154" w:type="dxa"/>
            <w:shd w:val="clear" w:color="auto" w:fill="auto"/>
            <w:tcMar>
              <w:top w:w="72" w:type="dxa"/>
              <w:left w:w="144" w:type="dxa"/>
              <w:bottom w:w="72" w:type="dxa"/>
              <w:right w:w="144" w:type="dxa"/>
            </w:tcMar>
          </w:tcPr>
          <w:p w14:paraId="23FB8BC2" w14:textId="1DB2DC5E" w:rsidR="007A516A" w:rsidRPr="00911177" w:rsidRDefault="007A516A" w:rsidP="002A540C">
            <w:pPr>
              <w:spacing w:line="240" w:lineRule="atLeast"/>
              <w:contextualSpacing/>
              <w:rPr>
                <w:snapToGrid w:val="0"/>
              </w:rPr>
            </w:pPr>
            <w:r w:rsidRPr="00911177">
              <w:rPr>
                <w:snapToGrid w:val="0"/>
              </w:rPr>
              <w:t>4GHz</w:t>
            </w:r>
          </w:p>
        </w:tc>
      </w:tr>
      <w:tr w:rsidR="007A516A" w:rsidRPr="00684DDC" w14:paraId="34D2863B" w14:textId="77777777" w:rsidTr="002A540C">
        <w:tc>
          <w:tcPr>
            <w:tcW w:w="3121" w:type="dxa"/>
            <w:shd w:val="clear" w:color="auto" w:fill="auto"/>
            <w:tcMar>
              <w:top w:w="72" w:type="dxa"/>
              <w:left w:w="144" w:type="dxa"/>
              <w:bottom w:w="72" w:type="dxa"/>
              <w:right w:w="144" w:type="dxa"/>
            </w:tcMar>
          </w:tcPr>
          <w:p w14:paraId="599B20B7" w14:textId="4C4874FD" w:rsidR="007A516A" w:rsidRPr="0033781A" w:rsidRDefault="007A516A" w:rsidP="002A540C">
            <w:pPr>
              <w:spacing w:line="240" w:lineRule="atLeast"/>
              <w:contextualSpacing/>
            </w:pPr>
            <w:r>
              <w:rPr>
                <w:rFonts w:hint="eastAsia"/>
              </w:rPr>
              <w:t>Inter-</w:t>
            </w:r>
            <w:r>
              <w:t>site</w:t>
            </w:r>
            <w:r>
              <w:rPr>
                <w:rFonts w:hint="eastAsia"/>
              </w:rPr>
              <w:t xml:space="preserve"> distance</w:t>
            </w:r>
          </w:p>
        </w:tc>
        <w:tc>
          <w:tcPr>
            <w:tcW w:w="6154" w:type="dxa"/>
            <w:shd w:val="clear" w:color="auto" w:fill="auto"/>
            <w:tcMar>
              <w:top w:w="72" w:type="dxa"/>
              <w:left w:w="144" w:type="dxa"/>
              <w:bottom w:w="72" w:type="dxa"/>
              <w:right w:w="144" w:type="dxa"/>
            </w:tcMar>
          </w:tcPr>
          <w:p w14:paraId="2F42E832" w14:textId="77777777" w:rsidR="007A516A" w:rsidRPr="00911177" w:rsidRDefault="007A516A" w:rsidP="002A540C">
            <w:pPr>
              <w:spacing w:line="240" w:lineRule="atLeast"/>
              <w:contextualSpacing/>
              <w:rPr>
                <w:b/>
                <w:snapToGrid w:val="0"/>
                <w:color w:val="0000FF"/>
              </w:rPr>
            </w:pPr>
            <w:r w:rsidRPr="00911177">
              <w:rPr>
                <w:snapToGrid w:val="0"/>
              </w:rPr>
              <w:t>200m</w:t>
            </w:r>
            <w:r w:rsidRPr="00911177">
              <w:rPr>
                <w:snapToGrid w:val="0"/>
                <w:color w:val="FF0000"/>
              </w:rPr>
              <w:t xml:space="preserve"> </w:t>
            </w:r>
          </w:p>
        </w:tc>
      </w:tr>
      <w:tr w:rsidR="007A516A" w:rsidRPr="00684DDC" w14:paraId="69925DDE" w14:textId="77777777" w:rsidTr="002A540C">
        <w:tc>
          <w:tcPr>
            <w:tcW w:w="3121" w:type="dxa"/>
            <w:shd w:val="clear" w:color="auto" w:fill="auto"/>
            <w:tcMar>
              <w:top w:w="72" w:type="dxa"/>
              <w:left w:w="144" w:type="dxa"/>
              <w:bottom w:w="72" w:type="dxa"/>
              <w:right w:w="144" w:type="dxa"/>
            </w:tcMar>
          </w:tcPr>
          <w:p w14:paraId="0B744487" w14:textId="77777777" w:rsidR="007A516A" w:rsidRPr="0033781A" w:rsidRDefault="007A516A" w:rsidP="002A540C">
            <w:pPr>
              <w:spacing w:line="240" w:lineRule="atLeast"/>
              <w:contextualSpacing/>
            </w:pPr>
            <w:r>
              <w:rPr>
                <w:rFonts w:hint="eastAsia"/>
              </w:rPr>
              <w:t>Channel model</w:t>
            </w:r>
          </w:p>
        </w:tc>
        <w:tc>
          <w:tcPr>
            <w:tcW w:w="6154" w:type="dxa"/>
            <w:shd w:val="clear" w:color="auto" w:fill="auto"/>
            <w:tcMar>
              <w:top w:w="72" w:type="dxa"/>
              <w:left w:w="144" w:type="dxa"/>
              <w:bottom w:w="72" w:type="dxa"/>
              <w:right w:w="144" w:type="dxa"/>
            </w:tcMar>
          </w:tcPr>
          <w:p w14:paraId="0675A046" w14:textId="77777777" w:rsidR="007A516A" w:rsidRPr="00911177" w:rsidRDefault="007A516A" w:rsidP="002A540C">
            <w:pPr>
              <w:spacing w:line="240" w:lineRule="atLeast"/>
              <w:contextualSpacing/>
              <w:rPr>
                <w:snapToGrid w:val="0"/>
              </w:rPr>
            </w:pPr>
            <w:r w:rsidRPr="00911177">
              <w:rPr>
                <w:snapToGrid w:val="0"/>
              </w:rPr>
              <w:t xml:space="preserve">According to the TR 38.901 </w:t>
            </w:r>
          </w:p>
        </w:tc>
      </w:tr>
      <w:tr w:rsidR="007A516A" w:rsidRPr="00684DDC" w14:paraId="726749B2" w14:textId="77777777" w:rsidTr="002A540C">
        <w:tc>
          <w:tcPr>
            <w:tcW w:w="3121" w:type="dxa"/>
            <w:shd w:val="clear" w:color="auto" w:fill="auto"/>
            <w:tcMar>
              <w:top w:w="72" w:type="dxa"/>
              <w:left w:w="144" w:type="dxa"/>
              <w:bottom w:w="72" w:type="dxa"/>
              <w:right w:w="144" w:type="dxa"/>
            </w:tcMar>
          </w:tcPr>
          <w:p w14:paraId="2F27EF95" w14:textId="77777777" w:rsidR="007A516A" w:rsidRPr="0033781A" w:rsidRDefault="007A516A" w:rsidP="002A540C">
            <w:pPr>
              <w:spacing w:line="240" w:lineRule="atLeast"/>
              <w:contextualSpacing/>
            </w:pPr>
            <w:r w:rsidRPr="00265E47">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7F084335" w14:textId="4615ACD3" w:rsidR="007A516A" w:rsidRPr="007A516A" w:rsidRDefault="007A516A" w:rsidP="007A516A">
            <w:pPr>
              <w:overflowPunct/>
              <w:snapToGrid w:val="0"/>
              <w:spacing w:line="240" w:lineRule="atLeast"/>
              <w:contextualSpacing/>
              <w:jc w:val="both"/>
              <w:textAlignment w:val="auto"/>
              <w:rPr>
                <w:snapToGrid w:val="0"/>
              </w:rPr>
            </w:pPr>
            <w:r w:rsidRPr="007A516A">
              <w:rPr>
                <w:snapToGrid w:val="0"/>
              </w:rPr>
              <w:t>32 ports: (8,8,2,1,1,2,8), (</w:t>
            </w:r>
            <w:proofErr w:type="spellStart"/>
            <w:proofErr w:type="gramStart"/>
            <w:r w:rsidRPr="007A516A">
              <w:rPr>
                <w:snapToGrid w:val="0"/>
              </w:rPr>
              <w:t>dH,dV</w:t>
            </w:r>
            <w:proofErr w:type="spellEnd"/>
            <w:proofErr w:type="gramEnd"/>
            <w:r w:rsidRPr="007A516A">
              <w:rPr>
                <w:snapToGrid w:val="0"/>
              </w:rPr>
              <w:t xml:space="preserve">) = (0.5, 0.8)λ </w:t>
            </w:r>
          </w:p>
          <w:p w14:paraId="60067299" w14:textId="5A5BC739" w:rsidR="007A516A" w:rsidRPr="007A516A" w:rsidRDefault="007A516A" w:rsidP="007A516A">
            <w:pPr>
              <w:overflowPunct/>
              <w:snapToGrid w:val="0"/>
              <w:spacing w:line="240" w:lineRule="atLeast"/>
              <w:contextualSpacing/>
              <w:jc w:val="both"/>
              <w:textAlignment w:val="auto"/>
            </w:pPr>
          </w:p>
        </w:tc>
      </w:tr>
      <w:tr w:rsidR="007A516A" w:rsidRPr="00684DDC" w14:paraId="28E3BDF9" w14:textId="77777777" w:rsidTr="002A540C">
        <w:tc>
          <w:tcPr>
            <w:tcW w:w="3121" w:type="dxa"/>
            <w:shd w:val="clear" w:color="auto" w:fill="auto"/>
            <w:tcMar>
              <w:top w:w="72" w:type="dxa"/>
              <w:left w:w="144" w:type="dxa"/>
              <w:bottom w:w="72" w:type="dxa"/>
              <w:right w:w="144" w:type="dxa"/>
            </w:tcMar>
          </w:tcPr>
          <w:p w14:paraId="7F832400" w14:textId="77777777" w:rsidR="007A516A" w:rsidRPr="00265E47" w:rsidRDefault="007A516A" w:rsidP="002A540C">
            <w:pPr>
              <w:spacing w:line="240" w:lineRule="atLeast"/>
              <w:contextualSpacing/>
            </w:pPr>
            <w:r w:rsidRPr="00265E47">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4F166313" w14:textId="32E6C82E" w:rsidR="007A516A" w:rsidRPr="00911177" w:rsidRDefault="007A516A" w:rsidP="007A516A">
            <w:pPr>
              <w:spacing w:line="240" w:lineRule="atLeast"/>
              <w:contextualSpacing/>
              <w:rPr>
                <w:snapToGrid w:val="0"/>
              </w:rPr>
            </w:pPr>
            <w:r w:rsidRPr="00911177">
              <w:rPr>
                <w:snapToGrid w:val="0"/>
              </w:rPr>
              <w:t>2RX: (1,1,2,1,1,1,</w:t>
            </w:r>
            <w:r w:rsidRPr="00112C24">
              <w:rPr>
                <w:snapToGrid w:val="0"/>
              </w:rPr>
              <w:t>1</w:t>
            </w:r>
            <w:r w:rsidRPr="00911177">
              <w:rPr>
                <w:snapToGrid w:val="0"/>
              </w:rPr>
              <w:t>), (</w:t>
            </w:r>
            <w:proofErr w:type="spellStart"/>
            <w:proofErr w:type="gramStart"/>
            <w:r w:rsidRPr="00911177">
              <w:rPr>
                <w:snapToGrid w:val="0"/>
              </w:rPr>
              <w:t>dH,dV</w:t>
            </w:r>
            <w:proofErr w:type="spellEnd"/>
            <w:proofErr w:type="gramEnd"/>
            <w:r w:rsidRPr="00911177">
              <w:rPr>
                <w:snapToGrid w:val="0"/>
              </w:rPr>
              <w:t xml:space="preserve">) = (0.5, 0.5)λ for (rank 1,2) </w:t>
            </w:r>
          </w:p>
        </w:tc>
      </w:tr>
      <w:tr w:rsidR="007A516A" w:rsidRPr="00684DDC" w14:paraId="4952930F" w14:textId="77777777" w:rsidTr="002A540C">
        <w:tc>
          <w:tcPr>
            <w:tcW w:w="3121" w:type="dxa"/>
            <w:shd w:val="clear" w:color="auto" w:fill="auto"/>
            <w:tcMar>
              <w:top w:w="72" w:type="dxa"/>
              <w:left w:w="144" w:type="dxa"/>
              <w:bottom w:w="72" w:type="dxa"/>
              <w:right w:w="144" w:type="dxa"/>
            </w:tcMar>
          </w:tcPr>
          <w:p w14:paraId="43FBCCC7" w14:textId="77777777" w:rsidR="007A516A" w:rsidRPr="00FD7540" w:rsidRDefault="007A516A" w:rsidP="002A540C">
            <w:pPr>
              <w:spacing w:line="240" w:lineRule="atLeast"/>
              <w:contextualSpacing/>
            </w:pPr>
            <w:r w:rsidRPr="00FD7540">
              <w:rPr>
                <w:rFonts w:hint="eastAsia"/>
              </w:rPr>
              <w:t xml:space="preserve">BS </w:t>
            </w:r>
            <w:r w:rsidRPr="00FD7540">
              <w:t xml:space="preserve">Tx power </w:t>
            </w:r>
          </w:p>
        </w:tc>
        <w:tc>
          <w:tcPr>
            <w:tcW w:w="6154" w:type="dxa"/>
            <w:shd w:val="clear" w:color="auto" w:fill="auto"/>
            <w:tcMar>
              <w:top w:w="72" w:type="dxa"/>
              <w:left w:w="144" w:type="dxa"/>
              <w:bottom w:w="72" w:type="dxa"/>
              <w:right w:w="144" w:type="dxa"/>
            </w:tcMar>
          </w:tcPr>
          <w:p w14:paraId="2DEBC789" w14:textId="77777777" w:rsidR="007A516A" w:rsidRPr="00425523" w:rsidRDefault="007A516A" w:rsidP="002A540C">
            <w:pPr>
              <w:spacing w:line="240" w:lineRule="atLeast"/>
              <w:contextualSpacing/>
              <w:rPr>
                <w:snapToGrid w:val="0"/>
              </w:rPr>
            </w:pPr>
            <w:r w:rsidRPr="00425523">
              <w:rPr>
                <w:snapToGrid w:val="0"/>
              </w:rPr>
              <w:t>41 dBm</w:t>
            </w:r>
          </w:p>
        </w:tc>
      </w:tr>
      <w:tr w:rsidR="007A516A" w:rsidRPr="00684DDC" w14:paraId="0B91A582" w14:textId="77777777" w:rsidTr="002A540C">
        <w:tc>
          <w:tcPr>
            <w:tcW w:w="3121" w:type="dxa"/>
            <w:shd w:val="clear" w:color="auto" w:fill="auto"/>
            <w:tcMar>
              <w:top w:w="72" w:type="dxa"/>
              <w:left w:w="144" w:type="dxa"/>
              <w:bottom w:w="72" w:type="dxa"/>
              <w:right w:w="144" w:type="dxa"/>
            </w:tcMar>
          </w:tcPr>
          <w:p w14:paraId="7FE07A71" w14:textId="77777777" w:rsidR="007A516A" w:rsidRPr="00FD7540" w:rsidRDefault="007A516A" w:rsidP="002A540C">
            <w:pPr>
              <w:spacing w:line="240" w:lineRule="atLeast"/>
              <w:contextualSpacing/>
            </w:pPr>
            <w:r w:rsidRPr="00FD7540">
              <w:t xml:space="preserve">BS antenna height </w:t>
            </w:r>
          </w:p>
        </w:tc>
        <w:tc>
          <w:tcPr>
            <w:tcW w:w="6154" w:type="dxa"/>
            <w:shd w:val="clear" w:color="auto" w:fill="auto"/>
            <w:tcMar>
              <w:top w:w="72" w:type="dxa"/>
              <w:left w:w="144" w:type="dxa"/>
              <w:bottom w:w="72" w:type="dxa"/>
              <w:right w:w="144" w:type="dxa"/>
            </w:tcMar>
          </w:tcPr>
          <w:p w14:paraId="61C632A4" w14:textId="77777777" w:rsidR="007A516A" w:rsidRPr="00425523" w:rsidRDefault="007A516A" w:rsidP="002A540C">
            <w:pPr>
              <w:spacing w:line="240" w:lineRule="atLeast"/>
              <w:contextualSpacing/>
              <w:rPr>
                <w:snapToGrid w:val="0"/>
              </w:rPr>
            </w:pPr>
            <w:r w:rsidRPr="00425523">
              <w:rPr>
                <w:snapToGrid w:val="0"/>
              </w:rPr>
              <w:t xml:space="preserve">25m </w:t>
            </w:r>
          </w:p>
        </w:tc>
      </w:tr>
      <w:tr w:rsidR="007A516A" w:rsidRPr="00684DDC" w14:paraId="0B8CAEE3" w14:textId="77777777" w:rsidTr="002A540C">
        <w:tc>
          <w:tcPr>
            <w:tcW w:w="3121" w:type="dxa"/>
            <w:shd w:val="clear" w:color="auto" w:fill="auto"/>
            <w:tcMar>
              <w:top w:w="72" w:type="dxa"/>
              <w:left w:w="144" w:type="dxa"/>
              <w:bottom w:w="72" w:type="dxa"/>
              <w:right w:w="144" w:type="dxa"/>
            </w:tcMar>
          </w:tcPr>
          <w:p w14:paraId="6D871D3A" w14:textId="77777777" w:rsidR="007A516A" w:rsidRPr="00FD7540" w:rsidRDefault="007A516A" w:rsidP="002A540C">
            <w:pPr>
              <w:spacing w:line="240" w:lineRule="atLeast"/>
              <w:contextualSpacing/>
            </w:pPr>
            <w:r w:rsidRPr="00FD7540">
              <w:t>UE antenna height &amp; gain</w:t>
            </w:r>
          </w:p>
        </w:tc>
        <w:tc>
          <w:tcPr>
            <w:tcW w:w="6154" w:type="dxa"/>
            <w:shd w:val="clear" w:color="auto" w:fill="auto"/>
            <w:tcMar>
              <w:top w:w="72" w:type="dxa"/>
              <w:left w:w="144" w:type="dxa"/>
              <w:bottom w:w="72" w:type="dxa"/>
              <w:right w:w="144" w:type="dxa"/>
            </w:tcMar>
          </w:tcPr>
          <w:p w14:paraId="73793254" w14:textId="77777777" w:rsidR="007A516A" w:rsidRPr="00425523" w:rsidRDefault="007A516A" w:rsidP="002A540C">
            <w:pPr>
              <w:spacing w:line="240" w:lineRule="atLeast"/>
              <w:contextualSpacing/>
              <w:rPr>
                <w:snapToGrid w:val="0"/>
              </w:rPr>
            </w:pPr>
            <w:r w:rsidRPr="00425523">
              <w:rPr>
                <w:snapToGrid w:val="0"/>
              </w:rPr>
              <w:t xml:space="preserve">Follow TR36.873 </w:t>
            </w:r>
          </w:p>
        </w:tc>
      </w:tr>
      <w:tr w:rsidR="007A516A" w:rsidRPr="00684DDC" w14:paraId="5B7898D3" w14:textId="77777777" w:rsidTr="002A540C">
        <w:tc>
          <w:tcPr>
            <w:tcW w:w="3121" w:type="dxa"/>
            <w:shd w:val="clear" w:color="auto" w:fill="auto"/>
            <w:tcMar>
              <w:top w:w="72" w:type="dxa"/>
              <w:left w:w="144" w:type="dxa"/>
              <w:bottom w:w="72" w:type="dxa"/>
              <w:right w:w="144" w:type="dxa"/>
            </w:tcMar>
          </w:tcPr>
          <w:p w14:paraId="2F1E035F" w14:textId="77777777" w:rsidR="007A516A" w:rsidRPr="00FD7540" w:rsidRDefault="007A516A" w:rsidP="002A540C">
            <w:pPr>
              <w:spacing w:line="240" w:lineRule="atLeast"/>
              <w:contextualSpacing/>
            </w:pPr>
            <w:r w:rsidRPr="00FD7540">
              <w:t>UE receiver noise figure</w:t>
            </w:r>
          </w:p>
        </w:tc>
        <w:tc>
          <w:tcPr>
            <w:tcW w:w="6154" w:type="dxa"/>
            <w:shd w:val="clear" w:color="auto" w:fill="auto"/>
            <w:tcMar>
              <w:top w:w="72" w:type="dxa"/>
              <w:left w:w="144" w:type="dxa"/>
              <w:bottom w:w="72" w:type="dxa"/>
              <w:right w:w="144" w:type="dxa"/>
            </w:tcMar>
          </w:tcPr>
          <w:p w14:paraId="2D74233D" w14:textId="77777777" w:rsidR="007A516A" w:rsidRPr="00425523" w:rsidRDefault="007A516A" w:rsidP="002A540C">
            <w:pPr>
              <w:spacing w:line="240" w:lineRule="atLeast"/>
              <w:contextualSpacing/>
              <w:rPr>
                <w:snapToGrid w:val="0"/>
              </w:rPr>
            </w:pPr>
            <w:r w:rsidRPr="00425523">
              <w:rPr>
                <w:snapToGrid w:val="0"/>
              </w:rPr>
              <w:t>9dB</w:t>
            </w:r>
          </w:p>
        </w:tc>
      </w:tr>
      <w:tr w:rsidR="007A516A" w:rsidRPr="00684DDC" w14:paraId="43DAF85C" w14:textId="77777777" w:rsidTr="002A540C">
        <w:tc>
          <w:tcPr>
            <w:tcW w:w="3121" w:type="dxa"/>
            <w:shd w:val="clear" w:color="auto" w:fill="auto"/>
            <w:tcMar>
              <w:top w:w="72" w:type="dxa"/>
              <w:left w:w="144" w:type="dxa"/>
              <w:bottom w:w="72" w:type="dxa"/>
              <w:right w:w="144" w:type="dxa"/>
            </w:tcMar>
            <w:hideMark/>
          </w:tcPr>
          <w:p w14:paraId="3C8BC34D" w14:textId="77777777" w:rsidR="007A516A" w:rsidRPr="0033781A" w:rsidRDefault="007A516A" w:rsidP="002A540C">
            <w:pPr>
              <w:spacing w:line="240" w:lineRule="atLeast"/>
              <w:contextualSpacing/>
            </w:pPr>
            <w:r w:rsidRPr="00265E47">
              <w:t xml:space="preserve">Modulation </w:t>
            </w:r>
          </w:p>
        </w:tc>
        <w:tc>
          <w:tcPr>
            <w:tcW w:w="6154" w:type="dxa"/>
            <w:shd w:val="clear" w:color="auto" w:fill="auto"/>
            <w:tcMar>
              <w:top w:w="72" w:type="dxa"/>
              <w:left w:w="144" w:type="dxa"/>
              <w:bottom w:w="72" w:type="dxa"/>
              <w:right w:w="144" w:type="dxa"/>
            </w:tcMar>
            <w:hideMark/>
          </w:tcPr>
          <w:p w14:paraId="58D022FC" w14:textId="77777777" w:rsidR="007A516A" w:rsidRPr="00911177" w:rsidRDefault="007A516A" w:rsidP="002A540C">
            <w:pPr>
              <w:spacing w:line="240" w:lineRule="atLeast"/>
              <w:contextualSpacing/>
            </w:pPr>
            <w:r w:rsidRPr="00911177">
              <w:t xml:space="preserve">Up to 256QAM </w:t>
            </w:r>
          </w:p>
        </w:tc>
      </w:tr>
      <w:tr w:rsidR="007A516A" w:rsidRPr="00684DDC" w14:paraId="5BAC0B51" w14:textId="77777777" w:rsidTr="002A540C">
        <w:tc>
          <w:tcPr>
            <w:tcW w:w="3121" w:type="dxa"/>
            <w:shd w:val="clear" w:color="auto" w:fill="auto"/>
            <w:tcMar>
              <w:top w:w="72" w:type="dxa"/>
              <w:left w:w="144" w:type="dxa"/>
              <w:bottom w:w="72" w:type="dxa"/>
              <w:right w:w="144" w:type="dxa"/>
            </w:tcMar>
            <w:hideMark/>
          </w:tcPr>
          <w:p w14:paraId="4276C0F5" w14:textId="77777777" w:rsidR="007A516A" w:rsidRPr="0033781A" w:rsidRDefault="007A516A" w:rsidP="002A540C">
            <w:pPr>
              <w:spacing w:line="240" w:lineRule="atLeast"/>
              <w:contextualSpacing/>
            </w:pPr>
            <w:r w:rsidRPr="0033781A">
              <w:t xml:space="preserve">Coding on PDSCH </w:t>
            </w:r>
          </w:p>
        </w:tc>
        <w:tc>
          <w:tcPr>
            <w:tcW w:w="6154" w:type="dxa"/>
            <w:shd w:val="clear" w:color="auto" w:fill="auto"/>
            <w:tcMar>
              <w:top w:w="72" w:type="dxa"/>
              <w:left w:w="144" w:type="dxa"/>
              <w:bottom w:w="72" w:type="dxa"/>
              <w:right w:w="144" w:type="dxa"/>
            </w:tcMar>
            <w:hideMark/>
          </w:tcPr>
          <w:p w14:paraId="60D5412E" w14:textId="77777777" w:rsidR="007A516A" w:rsidRPr="00911177" w:rsidRDefault="007A516A" w:rsidP="002A540C">
            <w:pPr>
              <w:spacing w:line="240" w:lineRule="atLeast"/>
              <w:contextualSpacing/>
            </w:pPr>
            <w:r w:rsidRPr="00911177">
              <w:t>LDPC</w:t>
            </w:r>
          </w:p>
          <w:p w14:paraId="70327B2B" w14:textId="77777777" w:rsidR="007A516A" w:rsidRPr="00911177" w:rsidRDefault="007A516A" w:rsidP="002A540C">
            <w:pPr>
              <w:spacing w:line="240" w:lineRule="atLeast"/>
              <w:contextualSpacing/>
              <w:rPr>
                <w:lang w:eastAsia="zh-CN"/>
              </w:rPr>
            </w:pPr>
            <w:r w:rsidRPr="00911177">
              <w:t xml:space="preserve">Max code-block size=8448bit </w:t>
            </w:r>
          </w:p>
        </w:tc>
      </w:tr>
      <w:tr w:rsidR="007A516A" w:rsidRPr="00684DDC" w14:paraId="7B0F5218" w14:textId="77777777" w:rsidTr="002A540C">
        <w:trPr>
          <w:trHeight w:val="211"/>
        </w:trPr>
        <w:tc>
          <w:tcPr>
            <w:tcW w:w="3121" w:type="dxa"/>
            <w:shd w:val="clear" w:color="auto" w:fill="auto"/>
            <w:tcMar>
              <w:top w:w="72" w:type="dxa"/>
              <w:left w:w="144" w:type="dxa"/>
              <w:bottom w:w="72" w:type="dxa"/>
              <w:right w:w="144" w:type="dxa"/>
            </w:tcMar>
            <w:hideMark/>
          </w:tcPr>
          <w:p w14:paraId="5CC468BB" w14:textId="77777777" w:rsidR="007A516A" w:rsidRPr="0033781A" w:rsidRDefault="007A516A" w:rsidP="002A540C">
            <w:pPr>
              <w:spacing w:line="240" w:lineRule="atLeast"/>
              <w:contextualSpacing/>
            </w:pPr>
            <w:r w:rsidRPr="0033781A">
              <w:lastRenderedPageBreak/>
              <w:t xml:space="preserve">Simulation bandwidth </w:t>
            </w:r>
          </w:p>
        </w:tc>
        <w:tc>
          <w:tcPr>
            <w:tcW w:w="6154" w:type="dxa"/>
            <w:shd w:val="clear" w:color="auto" w:fill="auto"/>
            <w:tcMar>
              <w:top w:w="72" w:type="dxa"/>
              <w:left w:w="144" w:type="dxa"/>
              <w:bottom w:w="72" w:type="dxa"/>
              <w:right w:w="144" w:type="dxa"/>
            </w:tcMar>
            <w:hideMark/>
          </w:tcPr>
          <w:p w14:paraId="492A892A" w14:textId="3A30A671" w:rsidR="007A516A" w:rsidRPr="007A516A" w:rsidRDefault="007A516A" w:rsidP="007A516A">
            <w:pPr>
              <w:spacing w:line="240" w:lineRule="atLeast"/>
              <w:contextualSpacing/>
              <w:rPr>
                <w:snapToGrid w:val="0"/>
              </w:rPr>
            </w:pPr>
            <w:r>
              <w:rPr>
                <w:snapToGrid w:val="0"/>
              </w:rPr>
              <w:t>Case 1: 40MHz with 30kHz SCS (</w:t>
            </w:r>
            <w:r w:rsidR="00590AB0">
              <w:rPr>
                <w:snapToGrid w:val="0"/>
              </w:rPr>
              <w:t xml:space="preserve">with subband sizes </w:t>
            </w:r>
            <w:r>
              <w:rPr>
                <w:snapToGrid w:val="0"/>
              </w:rPr>
              <w:t>emulating 100MHz BW)</w:t>
            </w:r>
          </w:p>
          <w:p w14:paraId="75F2B4CF" w14:textId="63FB491C" w:rsidR="007A516A" w:rsidRPr="00590AB0" w:rsidRDefault="00590AB0" w:rsidP="00590AB0">
            <w:pPr>
              <w:spacing w:line="240" w:lineRule="atLeast"/>
              <w:contextualSpacing/>
              <w:rPr>
                <w:snapToGrid w:val="0"/>
              </w:rPr>
            </w:pPr>
            <w:r>
              <w:rPr>
                <w:snapToGrid w:val="0"/>
              </w:rPr>
              <w:t xml:space="preserve">Case 2: </w:t>
            </w:r>
            <w:r w:rsidR="007A516A" w:rsidRPr="00590AB0">
              <w:rPr>
                <w:snapToGrid w:val="0"/>
              </w:rPr>
              <w:t xml:space="preserve">10 MHz </w:t>
            </w:r>
            <w:r>
              <w:rPr>
                <w:snapToGrid w:val="0"/>
              </w:rPr>
              <w:t>with</w:t>
            </w:r>
            <w:r w:rsidR="007A516A" w:rsidRPr="00590AB0">
              <w:rPr>
                <w:snapToGrid w:val="0"/>
              </w:rPr>
              <w:t xml:space="preserve"> 15kHz </w:t>
            </w:r>
            <w:r>
              <w:rPr>
                <w:snapToGrid w:val="0"/>
              </w:rPr>
              <w:t>SCS</w:t>
            </w:r>
          </w:p>
        </w:tc>
      </w:tr>
      <w:tr w:rsidR="007A516A" w:rsidRPr="00684DDC" w14:paraId="7A05336B" w14:textId="77777777" w:rsidTr="002A540C">
        <w:tc>
          <w:tcPr>
            <w:tcW w:w="3121" w:type="dxa"/>
            <w:shd w:val="clear" w:color="auto" w:fill="auto"/>
            <w:tcMar>
              <w:top w:w="72" w:type="dxa"/>
              <w:left w:w="144" w:type="dxa"/>
              <w:bottom w:w="72" w:type="dxa"/>
              <w:right w:w="144" w:type="dxa"/>
            </w:tcMar>
            <w:hideMark/>
          </w:tcPr>
          <w:p w14:paraId="15CD6E50" w14:textId="77777777" w:rsidR="007A516A" w:rsidRPr="0033781A" w:rsidRDefault="007A516A" w:rsidP="002A540C">
            <w:pPr>
              <w:spacing w:line="240" w:lineRule="atLeast"/>
              <w:contextualSpacing/>
            </w:pPr>
            <w:r w:rsidRPr="0033781A">
              <w:t xml:space="preserve">Frame structure </w:t>
            </w:r>
          </w:p>
        </w:tc>
        <w:tc>
          <w:tcPr>
            <w:tcW w:w="6154" w:type="dxa"/>
            <w:shd w:val="clear" w:color="auto" w:fill="auto"/>
            <w:tcMar>
              <w:top w:w="72" w:type="dxa"/>
              <w:left w:w="144" w:type="dxa"/>
              <w:bottom w:w="72" w:type="dxa"/>
              <w:right w:w="144" w:type="dxa"/>
            </w:tcMar>
            <w:hideMark/>
          </w:tcPr>
          <w:p w14:paraId="050DB5D4" w14:textId="77777777" w:rsidR="007A516A" w:rsidRPr="00911177" w:rsidRDefault="007A516A" w:rsidP="002A540C">
            <w:pPr>
              <w:spacing w:line="240" w:lineRule="atLeast"/>
              <w:contextualSpacing/>
              <w:rPr>
                <w:lang w:eastAsia="zh-CN"/>
              </w:rPr>
            </w:pPr>
            <w:r w:rsidRPr="00911177">
              <w:t>Slot Format 0 (all downlink) for all slots</w:t>
            </w:r>
          </w:p>
        </w:tc>
      </w:tr>
      <w:tr w:rsidR="007A516A" w:rsidRPr="00684DDC" w14:paraId="3092108F" w14:textId="77777777" w:rsidTr="002A540C">
        <w:tc>
          <w:tcPr>
            <w:tcW w:w="3121" w:type="dxa"/>
            <w:shd w:val="clear" w:color="auto" w:fill="auto"/>
            <w:tcMar>
              <w:top w:w="72" w:type="dxa"/>
              <w:left w:w="144" w:type="dxa"/>
              <w:bottom w:w="72" w:type="dxa"/>
              <w:right w:w="144" w:type="dxa"/>
            </w:tcMar>
            <w:hideMark/>
          </w:tcPr>
          <w:p w14:paraId="349292EC" w14:textId="77777777" w:rsidR="007A516A" w:rsidRPr="0033781A" w:rsidRDefault="007A516A" w:rsidP="002A540C">
            <w:pPr>
              <w:spacing w:line="240" w:lineRule="atLeast"/>
              <w:contextualSpacing/>
            </w:pPr>
            <w:r>
              <w:rPr>
                <w:rFonts w:eastAsia="STXihei"/>
                <w:bCs/>
                <w:kern w:val="24"/>
              </w:rPr>
              <w:t>MIMO scheme</w:t>
            </w:r>
          </w:p>
        </w:tc>
        <w:tc>
          <w:tcPr>
            <w:tcW w:w="6154" w:type="dxa"/>
            <w:shd w:val="clear" w:color="auto" w:fill="auto"/>
            <w:tcMar>
              <w:top w:w="72" w:type="dxa"/>
              <w:left w:w="144" w:type="dxa"/>
              <w:bottom w:w="72" w:type="dxa"/>
              <w:right w:w="144" w:type="dxa"/>
            </w:tcMar>
            <w:hideMark/>
          </w:tcPr>
          <w:p w14:paraId="56FFDB6F" w14:textId="0EDABD1F" w:rsidR="007A516A" w:rsidRPr="00911177" w:rsidRDefault="007A516A" w:rsidP="00590AB0">
            <w:pPr>
              <w:spacing w:line="240" w:lineRule="atLeast"/>
              <w:contextualSpacing/>
              <w:rPr>
                <w:lang w:eastAsia="zh-CN"/>
              </w:rPr>
            </w:pPr>
            <w:r w:rsidRPr="00911177">
              <w:rPr>
                <w:snapToGrid w:val="0"/>
              </w:rPr>
              <w:t>SU/MU-MIMO with rank adaptation</w:t>
            </w:r>
          </w:p>
        </w:tc>
      </w:tr>
      <w:tr w:rsidR="007A516A" w:rsidRPr="00684DDC" w14:paraId="7AD4D217" w14:textId="77777777" w:rsidTr="002A540C">
        <w:tc>
          <w:tcPr>
            <w:tcW w:w="3121" w:type="dxa"/>
            <w:shd w:val="clear" w:color="auto" w:fill="auto"/>
            <w:vAlign w:val="center"/>
            <w:hideMark/>
          </w:tcPr>
          <w:p w14:paraId="6E92129E" w14:textId="77777777" w:rsidR="007A516A" w:rsidRPr="007215CB" w:rsidRDefault="007A516A" w:rsidP="002A540C">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7215CB">
              <w:rPr>
                <w:rFonts w:ascii="Times New Roman" w:eastAsia="STXihei"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74E11AFA" w14:textId="4D64BCF3" w:rsidR="007A516A" w:rsidRPr="00911177" w:rsidRDefault="00590AB0" w:rsidP="002A540C">
            <w:pPr>
              <w:spacing w:line="240" w:lineRule="atLeast"/>
              <w:contextualSpacing/>
              <w:rPr>
                <w:snapToGrid w:val="0"/>
              </w:rPr>
            </w:pPr>
            <w:proofErr w:type="spellStart"/>
            <w:r>
              <w:rPr>
                <w:snapToGrid w:val="0"/>
              </w:rPr>
              <w:t>Maxmimum</w:t>
            </w:r>
            <w:proofErr w:type="spellEnd"/>
            <w:r>
              <w:rPr>
                <w:snapToGrid w:val="0"/>
              </w:rPr>
              <w:t xml:space="preserve"> 8 layers</w:t>
            </w:r>
          </w:p>
        </w:tc>
      </w:tr>
      <w:tr w:rsidR="007A516A" w:rsidRPr="00684DDC" w14:paraId="575D45C2" w14:textId="77777777" w:rsidTr="002A540C">
        <w:trPr>
          <w:trHeight w:val="908"/>
        </w:trPr>
        <w:tc>
          <w:tcPr>
            <w:tcW w:w="3121" w:type="dxa"/>
            <w:shd w:val="clear" w:color="auto" w:fill="auto"/>
            <w:vAlign w:val="center"/>
            <w:hideMark/>
          </w:tcPr>
          <w:p w14:paraId="518CC480" w14:textId="77777777" w:rsidR="007A516A" w:rsidRPr="007215CB" w:rsidRDefault="007A516A" w:rsidP="002A540C">
            <w:pPr>
              <w:pStyle w:val="NormalWeb"/>
              <w:spacing w:before="0" w:beforeAutospacing="0" w:after="0" w:afterAutospacing="0" w:line="240" w:lineRule="atLeast"/>
              <w:ind w:leftChars="68" w:left="856"/>
              <w:contextualSpacing/>
              <w:rPr>
                <w:rFonts w:ascii="Times New Roman" w:eastAsia="STXihei" w:hAnsi="Times New Roman" w:cs="Times New Roman"/>
                <w:kern w:val="24"/>
                <w:sz w:val="20"/>
                <w:szCs w:val="20"/>
              </w:rPr>
            </w:pPr>
            <w:r w:rsidRPr="0033781A">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6765E46E" w14:textId="77777777" w:rsidR="007A516A" w:rsidRPr="00911177" w:rsidRDefault="007A516A" w:rsidP="007A516A">
            <w:pPr>
              <w:pStyle w:val="ListParagraph"/>
              <w:numPr>
                <w:ilvl w:val="0"/>
                <w:numId w:val="27"/>
              </w:numPr>
              <w:overflowPunct/>
              <w:snapToGrid w:val="0"/>
              <w:contextualSpacing/>
              <w:jc w:val="both"/>
              <w:rPr>
                <w:rFonts w:eastAsia="Malgun Gothic"/>
                <w:kern w:val="2"/>
                <w:lang w:eastAsia="ko-KR"/>
              </w:rPr>
            </w:pPr>
            <w:r w:rsidRPr="00911177">
              <w:rPr>
                <w:rFonts w:eastAsia="Malgun Gothic"/>
              </w:rPr>
              <w:t xml:space="preserve">CSI feedback periodicity (full CSI feedback) :  5 </w:t>
            </w:r>
            <w:proofErr w:type="spellStart"/>
            <w:r w:rsidRPr="00911177">
              <w:rPr>
                <w:rFonts w:eastAsia="Malgun Gothic"/>
              </w:rPr>
              <w:t>ms</w:t>
            </w:r>
            <w:proofErr w:type="spellEnd"/>
            <w:r w:rsidRPr="00911177">
              <w:rPr>
                <w:rFonts w:eastAsia="Malgun Gothic"/>
              </w:rPr>
              <w:t xml:space="preserve">, </w:t>
            </w:r>
          </w:p>
          <w:p w14:paraId="4AF941C7" w14:textId="77777777" w:rsidR="007A516A" w:rsidRPr="00911177" w:rsidRDefault="007A516A" w:rsidP="007A516A">
            <w:pPr>
              <w:pStyle w:val="ListParagraph"/>
              <w:numPr>
                <w:ilvl w:val="0"/>
                <w:numId w:val="27"/>
              </w:numPr>
              <w:overflowPunct/>
              <w:snapToGrid w:val="0"/>
              <w:contextualSpacing/>
              <w:jc w:val="both"/>
              <w:rPr>
                <w:rFonts w:ascii="Times New Roman" w:hAnsi="Times New Roman"/>
                <w:szCs w:val="20"/>
              </w:rPr>
            </w:pPr>
            <w:r w:rsidRPr="00911177">
              <w:rPr>
                <w:rFonts w:ascii="Times New Roman" w:eastAsia="Malgun Gothic" w:hAnsi="Times New Roman"/>
              </w:rPr>
              <w:t xml:space="preserve">Scheduling delay (from CSI feedback to time to apply in scheduling) :  4 </w:t>
            </w:r>
            <w:proofErr w:type="spellStart"/>
            <w:r w:rsidRPr="00911177">
              <w:rPr>
                <w:rFonts w:ascii="Times New Roman" w:eastAsia="Malgun Gothic" w:hAnsi="Times New Roman"/>
              </w:rPr>
              <w:t>ms</w:t>
            </w:r>
            <w:proofErr w:type="spellEnd"/>
          </w:p>
        </w:tc>
      </w:tr>
      <w:tr w:rsidR="007A516A" w:rsidRPr="00684DDC" w14:paraId="36BE2024" w14:textId="77777777" w:rsidTr="002A540C">
        <w:tc>
          <w:tcPr>
            <w:tcW w:w="3121" w:type="dxa"/>
            <w:shd w:val="clear" w:color="auto" w:fill="auto"/>
            <w:hideMark/>
          </w:tcPr>
          <w:p w14:paraId="304A14D8" w14:textId="77777777" w:rsidR="007A516A" w:rsidRPr="0033781A" w:rsidRDefault="007A516A" w:rsidP="002A540C">
            <w:pPr>
              <w:pStyle w:val="NormalWeb"/>
              <w:spacing w:before="0" w:beforeAutospacing="0" w:after="0" w:afterAutospacing="0" w:line="240" w:lineRule="atLeast"/>
              <w:ind w:leftChars="68" w:left="856"/>
              <w:contextualSpacing/>
              <w:rPr>
                <w:rFonts w:ascii="Times New Roman" w:hAnsi="Times New Roman" w:cs="Times New Roman"/>
                <w:sz w:val="20"/>
                <w:szCs w:val="20"/>
              </w:rPr>
            </w:pPr>
            <w:r w:rsidRPr="00265E47">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761FE2F3" w14:textId="6E3BF926" w:rsidR="007C1875" w:rsidRDefault="007C1875" w:rsidP="002A540C">
            <w:pPr>
              <w:spacing w:line="240" w:lineRule="atLeast"/>
              <w:contextualSpacing/>
              <w:rPr>
                <w:rFonts w:eastAsia="Malgun Gothic" w:hAnsi="Calibri"/>
                <w:snapToGrid w:val="0"/>
                <w:lang w:eastAsia="ko-KR"/>
              </w:rPr>
            </w:pPr>
            <w:r>
              <w:rPr>
                <w:rFonts w:eastAsia="Malgun Gothic" w:hAnsi="Calibri"/>
                <w:snapToGrid w:val="0"/>
                <w:lang w:eastAsia="ko-KR"/>
              </w:rPr>
              <w:t>Up to 2 port DMRS (pseudo-orthogonal DMRS ports used)</w:t>
            </w:r>
          </w:p>
          <w:p w14:paraId="6AF41EFE" w14:textId="233FE1B6" w:rsidR="007A516A" w:rsidRDefault="00590AB0" w:rsidP="002A540C">
            <w:pPr>
              <w:spacing w:line="240" w:lineRule="atLeast"/>
              <w:contextualSpacing/>
              <w:rPr>
                <w:rFonts w:eastAsia="Malgun Gothic" w:hAnsi="Calibri"/>
                <w:snapToGrid w:val="0"/>
                <w:lang w:eastAsia="ko-KR"/>
              </w:rPr>
            </w:pPr>
            <w:r>
              <w:rPr>
                <w:rFonts w:eastAsia="Malgun Gothic" w:hAnsi="Calibri"/>
                <w:snapToGrid w:val="0"/>
                <w:lang w:eastAsia="ko-KR"/>
              </w:rPr>
              <w:t xml:space="preserve">CSI-RS </w:t>
            </w:r>
            <w:r w:rsidR="007C1875">
              <w:rPr>
                <w:rFonts w:eastAsia="Malgun Gothic" w:hAnsi="Calibri"/>
                <w:snapToGrid w:val="0"/>
                <w:lang w:eastAsia="ko-KR"/>
              </w:rPr>
              <w:t>overhead included</w:t>
            </w:r>
          </w:p>
          <w:p w14:paraId="250E757E" w14:textId="0926C582" w:rsidR="007C1875" w:rsidRPr="00911177" w:rsidRDefault="007C1875" w:rsidP="002A540C">
            <w:pPr>
              <w:spacing w:line="240" w:lineRule="atLeast"/>
              <w:contextualSpacing/>
              <w:rPr>
                <w:rFonts w:eastAsia="Malgun Gothic"/>
                <w:kern w:val="24"/>
              </w:rPr>
            </w:pPr>
            <w:r>
              <w:rPr>
                <w:rFonts w:eastAsia="Malgun Gothic"/>
                <w:kern w:val="24"/>
              </w:rPr>
              <w:t xml:space="preserve">TRS overhead included </w:t>
            </w:r>
          </w:p>
        </w:tc>
      </w:tr>
      <w:tr w:rsidR="007A516A" w:rsidRPr="00684DDC" w14:paraId="1F6745A8" w14:textId="77777777" w:rsidTr="002A540C">
        <w:tc>
          <w:tcPr>
            <w:tcW w:w="3121" w:type="dxa"/>
            <w:shd w:val="clear" w:color="auto" w:fill="auto"/>
          </w:tcPr>
          <w:p w14:paraId="36E3D5DA"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hint="eastAsia"/>
                <w:kern w:val="24"/>
                <w:sz w:val="20"/>
                <w:szCs w:val="20"/>
                <w:lang w:eastAsia="ko-KR"/>
              </w:rPr>
              <w:t>Traffic model</w:t>
            </w:r>
          </w:p>
        </w:tc>
        <w:tc>
          <w:tcPr>
            <w:tcW w:w="6154" w:type="dxa"/>
            <w:shd w:val="clear" w:color="auto" w:fill="auto"/>
            <w:tcMar>
              <w:top w:w="72" w:type="dxa"/>
              <w:left w:w="144" w:type="dxa"/>
              <w:bottom w:w="72" w:type="dxa"/>
              <w:right w:w="144" w:type="dxa"/>
            </w:tcMar>
          </w:tcPr>
          <w:p w14:paraId="5D8FDEB1" w14:textId="77777777" w:rsidR="007A516A" w:rsidRPr="00911177" w:rsidRDefault="007A516A" w:rsidP="002A540C">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FTP model 1 with packet size 0.5 Mbytes</w:t>
            </w:r>
          </w:p>
          <w:p w14:paraId="735F059D" w14:textId="2F73C58C" w:rsidR="007A516A" w:rsidRPr="00911177" w:rsidRDefault="007A516A" w:rsidP="002A540C">
            <w:pPr>
              <w:pStyle w:val="NormalWeb"/>
              <w:spacing w:before="0" w:beforeAutospacing="0" w:after="0" w:afterAutospacing="0" w:line="240" w:lineRule="atLeast"/>
              <w:contextualSpacing/>
              <w:rPr>
                <w:rFonts w:ascii="Times New Roman" w:eastAsia="Malgun Gothic" w:hAnsi="Times New Roman" w:cs="Times New Roman"/>
                <w:kern w:val="24"/>
                <w:sz w:val="20"/>
                <w:szCs w:val="20"/>
                <w:lang w:eastAsia="ko-KR"/>
              </w:rPr>
            </w:pPr>
          </w:p>
        </w:tc>
      </w:tr>
      <w:tr w:rsidR="007A516A" w:rsidRPr="00684DDC" w14:paraId="2EDE57EC" w14:textId="77777777" w:rsidTr="002A540C">
        <w:tc>
          <w:tcPr>
            <w:tcW w:w="3121" w:type="dxa"/>
            <w:shd w:val="clear" w:color="auto" w:fill="auto"/>
          </w:tcPr>
          <w:p w14:paraId="57E80DFB"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4DCF9044" w14:textId="035E232D" w:rsidR="007A516A" w:rsidRPr="00425523" w:rsidRDefault="007A516A" w:rsidP="007C1875">
            <w:pPr>
              <w:pStyle w:val="NormalWeb"/>
              <w:numPr>
                <w:ilvl w:val="0"/>
                <w:numId w:val="23"/>
              </w:numPr>
              <w:spacing w:before="0" w:beforeAutospacing="0" w:after="0" w:afterAutospacing="0" w:line="240" w:lineRule="atLeast"/>
              <w:ind w:left="360"/>
              <w:contextualSpacing/>
              <w:rPr>
                <w:rFonts w:ascii="Times New Roman" w:hAnsi="Times New Roman"/>
                <w:kern w:val="24"/>
                <w:szCs w:val="20"/>
              </w:rPr>
            </w:pPr>
            <w:r w:rsidRPr="00425523">
              <w:rPr>
                <w:rFonts w:ascii="Times New Roman" w:eastAsia="Malgun Gothic" w:hAnsi="Times New Roman" w:cs="Times New Roman"/>
                <w:color w:val="auto"/>
                <w:kern w:val="24"/>
                <w:sz w:val="20"/>
                <w:szCs w:val="20"/>
                <w:u w:val="single"/>
                <w:lang w:eastAsia="ko-KR"/>
              </w:rPr>
              <w:t>50/70 % for CSI overhead reduction</w:t>
            </w:r>
          </w:p>
        </w:tc>
      </w:tr>
      <w:tr w:rsidR="007A516A" w:rsidRPr="00684DDC" w14:paraId="66D49DA6" w14:textId="77777777" w:rsidTr="002A540C">
        <w:tc>
          <w:tcPr>
            <w:tcW w:w="3121" w:type="dxa"/>
            <w:shd w:val="clear" w:color="auto" w:fill="auto"/>
          </w:tcPr>
          <w:p w14:paraId="22DFD3B3"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7FC94121" w14:textId="77777777" w:rsidR="007A516A" w:rsidRPr="00911177"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 xml:space="preserve">- 80% indoor (3km/h), 20% outdoor (30km/h) </w:t>
            </w:r>
          </w:p>
        </w:tc>
      </w:tr>
      <w:tr w:rsidR="007A516A" w:rsidRPr="00684DDC" w14:paraId="361DC6B1" w14:textId="77777777" w:rsidTr="002A540C">
        <w:tc>
          <w:tcPr>
            <w:tcW w:w="3121" w:type="dxa"/>
            <w:shd w:val="clear" w:color="auto" w:fill="auto"/>
          </w:tcPr>
          <w:p w14:paraId="05B0E384"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6E14FC3E" w14:textId="77777777" w:rsidR="007A516A" w:rsidRPr="00911177" w:rsidRDefault="007A516A" w:rsidP="002A540C">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MMSE-IRC as the baseline receiver</w:t>
            </w:r>
          </w:p>
        </w:tc>
      </w:tr>
      <w:tr w:rsidR="007A516A" w:rsidRPr="00684DDC" w14:paraId="144D1BBC" w14:textId="77777777" w:rsidTr="002A540C">
        <w:tc>
          <w:tcPr>
            <w:tcW w:w="3121" w:type="dxa"/>
            <w:shd w:val="clear" w:color="auto" w:fill="auto"/>
          </w:tcPr>
          <w:p w14:paraId="2F5C4AFF"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02B5D230" w14:textId="77777777" w:rsidR="007A516A" w:rsidRPr="00911177" w:rsidRDefault="007A516A" w:rsidP="002A540C">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r w:rsidR="007A516A" w:rsidRPr="00684DDC" w14:paraId="62563A8F" w14:textId="77777777" w:rsidTr="002A540C">
        <w:tc>
          <w:tcPr>
            <w:tcW w:w="3121" w:type="dxa"/>
            <w:shd w:val="clear" w:color="auto" w:fill="auto"/>
          </w:tcPr>
          <w:p w14:paraId="6D2DB9C9" w14:textId="77777777" w:rsidR="007A516A" w:rsidRPr="00925E68" w:rsidRDefault="007A516A" w:rsidP="002A540C">
            <w:pPr>
              <w:pStyle w:val="NormalWeb"/>
              <w:spacing w:before="0" w:beforeAutospacing="0" w:after="0" w:afterAutospacing="0" w:line="240" w:lineRule="atLeast"/>
              <w:ind w:leftChars="68" w:left="856"/>
              <w:contextualSpacing/>
              <w:rPr>
                <w:rFonts w:ascii="Times New Roman" w:eastAsia="Malgun Gothic" w:hAnsi="Times New Roman" w:cs="Times New Roman"/>
                <w:kern w:val="24"/>
                <w:sz w:val="20"/>
                <w:szCs w:val="20"/>
                <w:lang w:eastAsia="ko-KR"/>
              </w:rPr>
            </w:pPr>
            <w:r w:rsidRPr="00925E68">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0E3D5799" w14:textId="77777777" w:rsidR="007A516A" w:rsidRPr="00911177" w:rsidRDefault="007A516A" w:rsidP="002A540C">
            <w:pPr>
              <w:pStyle w:val="NormalWeb"/>
              <w:spacing w:before="0" w:beforeAutospacing="0" w:after="0" w:afterAutospacing="0" w:line="240" w:lineRule="atLeast"/>
              <w:ind w:left="0" w:firstLine="0"/>
              <w:contextualSpacing/>
              <w:rPr>
                <w:rFonts w:ascii="Times New Roman" w:eastAsia="Malgun Gothic" w:hAnsi="Times New Roman" w:cs="Times New Roman"/>
                <w:kern w:val="24"/>
                <w:sz w:val="20"/>
                <w:szCs w:val="20"/>
                <w:lang w:eastAsia="ko-KR"/>
              </w:rPr>
            </w:pPr>
            <w:r w:rsidRPr="00911177">
              <w:rPr>
                <w:rFonts w:ascii="Times New Roman" w:eastAsia="Malgun Gothic" w:hAnsi="Times New Roman" w:cs="Times New Roman"/>
                <w:kern w:val="24"/>
                <w:sz w:val="20"/>
                <w:szCs w:val="20"/>
                <w:lang w:eastAsia="ko-KR"/>
              </w:rPr>
              <w:t>Realistic</w:t>
            </w:r>
          </w:p>
        </w:tc>
      </w:tr>
    </w:tbl>
    <w:p w14:paraId="3FE1537A" w14:textId="77777777" w:rsidR="007A516A" w:rsidRPr="007A516A" w:rsidRDefault="007A516A" w:rsidP="007A516A"/>
    <w:p w14:paraId="5B61DDA2" w14:textId="77777777" w:rsidR="00CA64C7" w:rsidRPr="00CE0424" w:rsidRDefault="00CA64C7" w:rsidP="00CA64C7">
      <w:pPr>
        <w:pStyle w:val="Reference"/>
        <w:numPr>
          <w:ilvl w:val="0"/>
          <w:numId w:val="0"/>
        </w:numPr>
        <w:ind w:left="567"/>
      </w:pPr>
    </w:p>
    <w:sectPr w:rsidR="00CA64C7"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C1789" w14:textId="77777777" w:rsidR="006D78A4" w:rsidRDefault="006D78A4">
      <w:r>
        <w:separator/>
      </w:r>
    </w:p>
  </w:endnote>
  <w:endnote w:type="continuationSeparator" w:id="0">
    <w:p w14:paraId="22127B2F" w14:textId="77777777" w:rsidR="006D78A4" w:rsidRDefault="006D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2A540C" w:rsidRDefault="002A54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9C70E" w14:textId="77777777" w:rsidR="006D78A4" w:rsidRDefault="006D78A4">
      <w:r>
        <w:separator/>
      </w:r>
    </w:p>
  </w:footnote>
  <w:footnote w:type="continuationSeparator" w:id="0">
    <w:p w14:paraId="7E12D189" w14:textId="77777777" w:rsidR="006D78A4" w:rsidRDefault="006D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2A540C" w:rsidRDefault="002A540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53F0D"/>
    <w:multiLevelType w:val="hybridMultilevel"/>
    <w:tmpl w:val="7C8A5C4A"/>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66A7"/>
    <w:multiLevelType w:val="hybridMultilevel"/>
    <w:tmpl w:val="BA107F08"/>
    <w:lvl w:ilvl="0" w:tplc="FE7CA326">
      <w:start w:val="1"/>
      <w:numFmt w:val="bullet"/>
      <w:lvlText w:val="—"/>
      <w:lvlJc w:val="left"/>
      <w:pPr>
        <w:tabs>
          <w:tab w:val="num" w:pos="720"/>
        </w:tabs>
        <w:ind w:left="720" w:hanging="360"/>
      </w:pPr>
      <w:rPr>
        <w:rFonts w:ascii="Ericsson Hilda Light" w:hAnsi="Ericsson Hilda Light" w:hint="default"/>
      </w:rPr>
    </w:lvl>
    <w:lvl w:ilvl="1" w:tplc="841A3AA0">
      <w:start w:val="1"/>
      <w:numFmt w:val="bullet"/>
      <w:lvlText w:val="—"/>
      <w:lvlJc w:val="left"/>
      <w:pPr>
        <w:tabs>
          <w:tab w:val="num" w:pos="1440"/>
        </w:tabs>
        <w:ind w:left="1440" w:hanging="360"/>
      </w:pPr>
      <w:rPr>
        <w:rFonts w:ascii="Ericsson Hilda Light" w:hAnsi="Ericsson Hilda Light" w:hint="default"/>
      </w:rPr>
    </w:lvl>
    <w:lvl w:ilvl="2" w:tplc="5B44C54E">
      <w:start w:val="55"/>
      <w:numFmt w:val="bullet"/>
      <w:lvlText w:val="—"/>
      <w:lvlJc w:val="left"/>
      <w:pPr>
        <w:tabs>
          <w:tab w:val="num" w:pos="2160"/>
        </w:tabs>
        <w:ind w:left="2160" w:hanging="360"/>
      </w:pPr>
      <w:rPr>
        <w:rFonts w:ascii="Ericsson Hilda Light" w:hAnsi="Ericsson Hilda Light" w:hint="default"/>
      </w:rPr>
    </w:lvl>
    <w:lvl w:ilvl="3" w:tplc="D80CF424" w:tentative="1">
      <w:start w:val="1"/>
      <w:numFmt w:val="bullet"/>
      <w:lvlText w:val="—"/>
      <w:lvlJc w:val="left"/>
      <w:pPr>
        <w:tabs>
          <w:tab w:val="num" w:pos="2880"/>
        </w:tabs>
        <w:ind w:left="2880" w:hanging="360"/>
      </w:pPr>
      <w:rPr>
        <w:rFonts w:ascii="Ericsson Hilda Light" w:hAnsi="Ericsson Hilda Light" w:hint="default"/>
      </w:rPr>
    </w:lvl>
    <w:lvl w:ilvl="4" w:tplc="9C944A32" w:tentative="1">
      <w:start w:val="1"/>
      <w:numFmt w:val="bullet"/>
      <w:lvlText w:val="—"/>
      <w:lvlJc w:val="left"/>
      <w:pPr>
        <w:tabs>
          <w:tab w:val="num" w:pos="3600"/>
        </w:tabs>
        <w:ind w:left="3600" w:hanging="360"/>
      </w:pPr>
      <w:rPr>
        <w:rFonts w:ascii="Ericsson Hilda Light" w:hAnsi="Ericsson Hilda Light" w:hint="default"/>
      </w:rPr>
    </w:lvl>
    <w:lvl w:ilvl="5" w:tplc="BEB0092A" w:tentative="1">
      <w:start w:val="1"/>
      <w:numFmt w:val="bullet"/>
      <w:lvlText w:val="—"/>
      <w:lvlJc w:val="left"/>
      <w:pPr>
        <w:tabs>
          <w:tab w:val="num" w:pos="4320"/>
        </w:tabs>
        <w:ind w:left="4320" w:hanging="360"/>
      </w:pPr>
      <w:rPr>
        <w:rFonts w:ascii="Ericsson Hilda Light" w:hAnsi="Ericsson Hilda Light" w:hint="default"/>
      </w:rPr>
    </w:lvl>
    <w:lvl w:ilvl="6" w:tplc="EB6C5074" w:tentative="1">
      <w:start w:val="1"/>
      <w:numFmt w:val="bullet"/>
      <w:lvlText w:val="—"/>
      <w:lvlJc w:val="left"/>
      <w:pPr>
        <w:tabs>
          <w:tab w:val="num" w:pos="5040"/>
        </w:tabs>
        <w:ind w:left="5040" w:hanging="360"/>
      </w:pPr>
      <w:rPr>
        <w:rFonts w:ascii="Ericsson Hilda Light" w:hAnsi="Ericsson Hilda Light" w:hint="default"/>
      </w:rPr>
    </w:lvl>
    <w:lvl w:ilvl="7" w:tplc="DF042B28" w:tentative="1">
      <w:start w:val="1"/>
      <w:numFmt w:val="bullet"/>
      <w:lvlText w:val="—"/>
      <w:lvlJc w:val="left"/>
      <w:pPr>
        <w:tabs>
          <w:tab w:val="num" w:pos="5760"/>
        </w:tabs>
        <w:ind w:left="5760" w:hanging="360"/>
      </w:pPr>
      <w:rPr>
        <w:rFonts w:ascii="Ericsson Hilda Light" w:hAnsi="Ericsson Hilda Light" w:hint="default"/>
      </w:rPr>
    </w:lvl>
    <w:lvl w:ilvl="8" w:tplc="06C4EF6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25181"/>
    <w:multiLevelType w:val="hybridMultilevel"/>
    <w:tmpl w:val="F27046C8"/>
    <w:lvl w:ilvl="0" w:tplc="B4A48412">
      <w:start w:val="1"/>
      <w:numFmt w:val="bullet"/>
      <w:lvlText w:val="—"/>
      <w:lvlJc w:val="left"/>
      <w:pPr>
        <w:tabs>
          <w:tab w:val="num" w:pos="720"/>
        </w:tabs>
        <w:ind w:left="720" w:hanging="360"/>
      </w:pPr>
      <w:rPr>
        <w:rFonts w:ascii="Ericsson Hilda Light" w:hAnsi="Ericsson Hilda Light" w:hint="default"/>
      </w:rPr>
    </w:lvl>
    <w:lvl w:ilvl="1" w:tplc="4080EC58">
      <w:start w:val="55"/>
      <w:numFmt w:val="bullet"/>
      <w:lvlText w:val="—"/>
      <w:lvlJc w:val="left"/>
      <w:pPr>
        <w:tabs>
          <w:tab w:val="num" w:pos="1440"/>
        </w:tabs>
        <w:ind w:left="1440" w:hanging="360"/>
      </w:pPr>
      <w:rPr>
        <w:rFonts w:ascii="Ericsson Hilda Light" w:hAnsi="Ericsson Hilda Light" w:hint="default"/>
      </w:rPr>
    </w:lvl>
    <w:lvl w:ilvl="2" w:tplc="74AC8570">
      <w:start w:val="55"/>
      <w:numFmt w:val="bullet"/>
      <w:lvlText w:val="—"/>
      <w:lvlJc w:val="left"/>
      <w:pPr>
        <w:tabs>
          <w:tab w:val="num" w:pos="2160"/>
        </w:tabs>
        <w:ind w:left="2160" w:hanging="360"/>
      </w:pPr>
      <w:rPr>
        <w:rFonts w:ascii="Ericsson Hilda Light" w:hAnsi="Ericsson Hilda Light" w:hint="default"/>
      </w:rPr>
    </w:lvl>
    <w:lvl w:ilvl="3" w:tplc="94841D98">
      <w:start w:val="55"/>
      <w:numFmt w:val="bullet"/>
      <w:lvlText w:val="—"/>
      <w:lvlJc w:val="left"/>
      <w:pPr>
        <w:tabs>
          <w:tab w:val="num" w:pos="2880"/>
        </w:tabs>
        <w:ind w:left="2880" w:hanging="360"/>
      </w:pPr>
      <w:rPr>
        <w:rFonts w:ascii="Ericsson Hilda Light" w:hAnsi="Ericsson Hilda Light" w:hint="default"/>
      </w:rPr>
    </w:lvl>
    <w:lvl w:ilvl="4" w:tplc="B42EBF90" w:tentative="1">
      <w:start w:val="1"/>
      <w:numFmt w:val="bullet"/>
      <w:lvlText w:val="—"/>
      <w:lvlJc w:val="left"/>
      <w:pPr>
        <w:tabs>
          <w:tab w:val="num" w:pos="3600"/>
        </w:tabs>
        <w:ind w:left="3600" w:hanging="360"/>
      </w:pPr>
      <w:rPr>
        <w:rFonts w:ascii="Ericsson Hilda Light" w:hAnsi="Ericsson Hilda Light" w:hint="default"/>
      </w:rPr>
    </w:lvl>
    <w:lvl w:ilvl="5" w:tplc="756C5518" w:tentative="1">
      <w:start w:val="1"/>
      <w:numFmt w:val="bullet"/>
      <w:lvlText w:val="—"/>
      <w:lvlJc w:val="left"/>
      <w:pPr>
        <w:tabs>
          <w:tab w:val="num" w:pos="4320"/>
        </w:tabs>
        <w:ind w:left="4320" w:hanging="360"/>
      </w:pPr>
      <w:rPr>
        <w:rFonts w:ascii="Ericsson Hilda Light" w:hAnsi="Ericsson Hilda Light" w:hint="default"/>
      </w:rPr>
    </w:lvl>
    <w:lvl w:ilvl="6" w:tplc="E92830E4" w:tentative="1">
      <w:start w:val="1"/>
      <w:numFmt w:val="bullet"/>
      <w:lvlText w:val="—"/>
      <w:lvlJc w:val="left"/>
      <w:pPr>
        <w:tabs>
          <w:tab w:val="num" w:pos="5040"/>
        </w:tabs>
        <w:ind w:left="5040" w:hanging="360"/>
      </w:pPr>
      <w:rPr>
        <w:rFonts w:ascii="Ericsson Hilda Light" w:hAnsi="Ericsson Hilda Light" w:hint="default"/>
      </w:rPr>
    </w:lvl>
    <w:lvl w:ilvl="7" w:tplc="F3162562" w:tentative="1">
      <w:start w:val="1"/>
      <w:numFmt w:val="bullet"/>
      <w:lvlText w:val="—"/>
      <w:lvlJc w:val="left"/>
      <w:pPr>
        <w:tabs>
          <w:tab w:val="num" w:pos="5760"/>
        </w:tabs>
        <w:ind w:left="5760" w:hanging="360"/>
      </w:pPr>
      <w:rPr>
        <w:rFonts w:ascii="Ericsson Hilda Light" w:hAnsi="Ericsson Hilda Light" w:hint="default"/>
      </w:rPr>
    </w:lvl>
    <w:lvl w:ilvl="8" w:tplc="A2481BE4"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050296"/>
    <w:multiLevelType w:val="hybridMultilevel"/>
    <w:tmpl w:val="DEFAC8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3B2330"/>
    <w:multiLevelType w:val="hybridMultilevel"/>
    <w:tmpl w:val="3AB23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31A23"/>
    <w:multiLevelType w:val="hybridMultilevel"/>
    <w:tmpl w:val="DDB4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C66C1D"/>
    <w:multiLevelType w:val="hybridMultilevel"/>
    <w:tmpl w:val="B77E12F6"/>
    <w:lvl w:ilvl="0" w:tplc="B8AE5F42">
      <w:start w:val="1"/>
      <w:numFmt w:val="bullet"/>
      <w:lvlText w:val="—"/>
      <w:lvlJc w:val="left"/>
      <w:pPr>
        <w:tabs>
          <w:tab w:val="num" w:pos="720"/>
        </w:tabs>
        <w:ind w:left="720" w:hanging="360"/>
      </w:pPr>
      <w:rPr>
        <w:rFonts w:ascii="Ericsson Hilda Light" w:hAnsi="Ericsson Hilda Light" w:hint="default"/>
      </w:rPr>
    </w:lvl>
    <w:lvl w:ilvl="1" w:tplc="D2FA558C" w:tentative="1">
      <w:start w:val="1"/>
      <w:numFmt w:val="bullet"/>
      <w:lvlText w:val="—"/>
      <w:lvlJc w:val="left"/>
      <w:pPr>
        <w:tabs>
          <w:tab w:val="num" w:pos="1440"/>
        </w:tabs>
        <w:ind w:left="1440" w:hanging="360"/>
      </w:pPr>
      <w:rPr>
        <w:rFonts w:ascii="Ericsson Hilda Light" w:hAnsi="Ericsson Hilda Light" w:hint="default"/>
      </w:rPr>
    </w:lvl>
    <w:lvl w:ilvl="2" w:tplc="490010FA" w:tentative="1">
      <w:start w:val="1"/>
      <w:numFmt w:val="bullet"/>
      <w:lvlText w:val="—"/>
      <w:lvlJc w:val="left"/>
      <w:pPr>
        <w:tabs>
          <w:tab w:val="num" w:pos="2160"/>
        </w:tabs>
        <w:ind w:left="2160" w:hanging="360"/>
      </w:pPr>
      <w:rPr>
        <w:rFonts w:ascii="Ericsson Hilda Light" w:hAnsi="Ericsson Hilda Light" w:hint="default"/>
      </w:rPr>
    </w:lvl>
    <w:lvl w:ilvl="3" w:tplc="B03EC28A" w:tentative="1">
      <w:start w:val="1"/>
      <w:numFmt w:val="bullet"/>
      <w:lvlText w:val="—"/>
      <w:lvlJc w:val="left"/>
      <w:pPr>
        <w:tabs>
          <w:tab w:val="num" w:pos="2880"/>
        </w:tabs>
        <w:ind w:left="2880" w:hanging="360"/>
      </w:pPr>
      <w:rPr>
        <w:rFonts w:ascii="Ericsson Hilda Light" w:hAnsi="Ericsson Hilda Light" w:hint="default"/>
      </w:rPr>
    </w:lvl>
    <w:lvl w:ilvl="4" w:tplc="B13A8F12" w:tentative="1">
      <w:start w:val="1"/>
      <w:numFmt w:val="bullet"/>
      <w:lvlText w:val="—"/>
      <w:lvlJc w:val="left"/>
      <w:pPr>
        <w:tabs>
          <w:tab w:val="num" w:pos="3600"/>
        </w:tabs>
        <w:ind w:left="3600" w:hanging="360"/>
      </w:pPr>
      <w:rPr>
        <w:rFonts w:ascii="Ericsson Hilda Light" w:hAnsi="Ericsson Hilda Light" w:hint="default"/>
      </w:rPr>
    </w:lvl>
    <w:lvl w:ilvl="5" w:tplc="4A7A802E" w:tentative="1">
      <w:start w:val="1"/>
      <w:numFmt w:val="bullet"/>
      <w:lvlText w:val="—"/>
      <w:lvlJc w:val="left"/>
      <w:pPr>
        <w:tabs>
          <w:tab w:val="num" w:pos="4320"/>
        </w:tabs>
        <w:ind w:left="4320" w:hanging="360"/>
      </w:pPr>
      <w:rPr>
        <w:rFonts w:ascii="Ericsson Hilda Light" w:hAnsi="Ericsson Hilda Light" w:hint="default"/>
      </w:rPr>
    </w:lvl>
    <w:lvl w:ilvl="6" w:tplc="ED7EAA3A" w:tentative="1">
      <w:start w:val="1"/>
      <w:numFmt w:val="bullet"/>
      <w:lvlText w:val="—"/>
      <w:lvlJc w:val="left"/>
      <w:pPr>
        <w:tabs>
          <w:tab w:val="num" w:pos="5040"/>
        </w:tabs>
        <w:ind w:left="5040" w:hanging="360"/>
      </w:pPr>
      <w:rPr>
        <w:rFonts w:ascii="Ericsson Hilda Light" w:hAnsi="Ericsson Hilda Light" w:hint="default"/>
      </w:rPr>
    </w:lvl>
    <w:lvl w:ilvl="7" w:tplc="0CDEE8CA" w:tentative="1">
      <w:start w:val="1"/>
      <w:numFmt w:val="bullet"/>
      <w:lvlText w:val="—"/>
      <w:lvlJc w:val="left"/>
      <w:pPr>
        <w:tabs>
          <w:tab w:val="num" w:pos="5760"/>
        </w:tabs>
        <w:ind w:left="5760" w:hanging="360"/>
      </w:pPr>
      <w:rPr>
        <w:rFonts w:ascii="Ericsson Hilda Light" w:hAnsi="Ericsson Hilda Light" w:hint="default"/>
      </w:rPr>
    </w:lvl>
    <w:lvl w:ilvl="8" w:tplc="12907200"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19"/>
  </w:num>
  <w:num w:numId="3">
    <w:abstractNumId w:val="14"/>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9"/>
  </w:num>
  <w:num w:numId="19">
    <w:abstractNumId w:val="6"/>
  </w:num>
  <w:num w:numId="20">
    <w:abstractNumId w:val="29"/>
  </w:num>
  <w:num w:numId="21">
    <w:abstractNumId w:val="13"/>
  </w:num>
  <w:num w:numId="22">
    <w:abstractNumId w:val="28"/>
  </w:num>
  <w:num w:numId="23">
    <w:abstractNumId w:val="8"/>
  </w:num>
  <w:num w:numId="24">
    <w:abstractNumId w:val="30"/>
  </w:num>
  <w:num w:numId="25">
    <w:abstractNumId w:val="26"/>
  </w:num>
  <w:num w:numId="26">
    <w:abstractNumId w:val="4"/>
  </w:num>
  <w:num w:numId="27">
    <w:abstractNumId w:val="5"/>
  </w:num>
  <w:num w:numId="28">
    <w:abstractNumId w:val="25"/>
  </w:num>
  <w:num w:numId="29">
    <w:abstractNumId w:val="27"/>
  </w:num>
  <w:num w:numId="30">
    <w:abstractNumId w:val="15"/>
  </w:num>
  <w:num w:numId="3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4AE6"/>
    <w:rsid w:val="0000564C"/>
    <w:rsid w:val="00006446"/>
    <w:rsid w:val="00006896"/>
    <w:rsid w:val="00007CDC"/>
    <w:rsid w:val="00011B28"/>
    <w:rsid w:val="00015D15"/>
    <w:rsid w:val="0002564D"/>
    <w:rsid w:val="00025ECA"/>
    <w:rsid w:val="000325B8"/>
    <w:rsid w:val="00034C15"/>
    <w:rsid w:val="00036BA1"/>
    <w:rsid w:val="00037BB9"/>
    <w:rsid w:val="000422E2"/>
    <w:rsid w:val="00042F22"/>
    <w:rsid w:val="000444EF"/>
    <w:rsid w:val="00047FE0"/>
    <w:rsid w:val="00052A07"/>
    <w:rsid w:val="000534E3"/>
    <w:rsid w:val="0005606A"/>
    <w:rsid w:val="00057117"/>
    <w:rsid w:val="00057F64"/>
    <w:rsid w:val="000616E7"/>
    <w:rsid w:val="0006487E"/>
    <w:rsid w:val="00065E1A"/>
    <w:rsid w:val="00067F0C"/>
    <w:rsid w:val="000707B9"/>
    <w:rsid w:val="00074FC3"/>
    <w:rsid w:val="00077E5F"/>
    <w:rsid w:val="0008036A"/>
    <w:rsid w:val="00081AE6"/>
    <w:rsid w:val="000855EB"/>
    <w:rsid w:val="00085B52"/>
    <w:rsid w:val="000866F2"/>
    <w:rsid w:val="0009009F"/>
    <w:rsid w:val="00091557"/>
    <w:rsid w:val="000924C1"/>
    <w:rsid w:val="000924F0"/>
    <w:rsid w:val="00093474"/>
    <w:rsid w:val="0009510F"/>
    <w:rsid w:val="00095837"/>
    <w:rsid w:val="000A1B7B"/>
    <w:rsid w:val="000A56F2"/>
    <w:rsid w:val="000B2719"/>
    <w:rsid w:val="000B279C"/>
    <w:rsid w:val="000B3A8F"/>
    <w:rsid w:val="000B4AB9"/>
    <w:rsid w:val="000B58C3"/>
    <w:rsid w:val="000B61E9"/>
    <w:rsid w:val="000B757A"/>
    <w:rsid w:val="000C165A"/>
    <w:rsid w:val="000C1993"/>
    <w:rsid w:val="000C2E19"/>
    <w:rsid w:val="000D0D07"/>
    <w:rsid w:val="000D4258"/>
    <w:rsid w:val="000D4797"/>
    <w:rsid w:val="000E0527"/>
    <w:rsid w:val="000E1E92"/>
    <w:rsid w:val="000E5D6F"/>
    <w:rsid w:val="000F06D6"/>
    <w:rsid w:val="000F0EB1"/>
    <w:rsid w:val="000F1106"/>
    <w:rsid w:val="000F3BE9"/>
    <w:rsid w:val="000F3F6C"/>
    <w:rsid w:val="000F6DF3"/>
    <w:rsid w:val="001005FF"/>
    <w:rsid w:val="001062FB"/>
    <w:rsid w:val="001063E6"/>
    <w:rsid w:val="00113CF4"/>
    <w:rsid w:val="001153EA"/>
    <w:rsid w:val="00115643"/>
    <w:rsid w:val="00116765"/>
    <w:rsid w:val="0012074D"/>
    <w:rsid w:val="00120B46"/>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ED2"/>
    <w:rsid w:val="00173A8E"/>
    <w:rsid w:val="0017502C"/>
    <w:rsid w:val="0018143F"/>
    <w:rsid w:val="00181FF8"/>
    <w:rsid w:val="001877D6"/>
    <w:rsid w:val="00190AC1"/>
    <w:rsid w:val="0019341A"/>
    <w:rsid w:val="00195E77"/>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41B"/>
    <w:rsid w:val="001F3916"/>
    <w:rsid w:val="001F54C5"/>
    <w:rsid w:val="001F5A90"/>
    <w:rsid w:val="001F662C"/>
    <w:rsid w:val="001F7074"/>
    <w:rsid w:val="001F73DF"/>
    <w:rsid w:val="00200490"/>
    <w:rsid w:val="00201F3A"/>
    <w:rsid w:val="00203D06"/>
    <w:rsid w:val="00203F96"/>
    <w:rsid w:val="002069B2"/>
    <w:rsid w:val="00207FA3"/>
    <w:rsid w:val="0021322C"/>
    <w:rsid w:val="00214DA8"/>
    <w:rsid w:val="00215423"/>
    <w:rsid w:val="002158FA"/>
    <w:rsid w:val="00220600"/>
    <w:rsid w:val="002224DB"/>
    <w:rsid w:val="00223FCB"/>
    <w:rsid w:val="002252C3"/>
    <w:rsid w:val="00225C54"/>
    <w:rsid w:val="00230765"/>
    <w:rsid w:val="00230D18"/>
    <w:rsid w:val="002319E4"/>
    <w:rsid w:val="00235632"/>
    <w:rsid w:val="00235872"/>
    <w:rsid w:val="00235A95"/>
    <w:rsid w:val="00241559"/>
    <w:rsid w:val="00241626"/>
    <w:rsid w:val="002435B3"/>
    <w:rsid w:val="002458EB"/>
    <w:rsid w:val="002500C8"/>
    <w:rsid w:val="00252381"/>
    <w:rsid w:val="00257543"/>
    <w:rsid w:val="002617E7"/>
    <w:rsid w:val="00264228"/>
    <w:rsid w:val="00264334"/>
    <w:rsid w:val="0026473E"/>
    <w:rsid w:val="0026507F"/>
    <w:rsid w:val="00265D6C"/>
    <w:rsid w:val="00266214"/>
    <w:rsid w:val="00267C83"/>
    <w:rsid w:val="0027144F"/>
    <w:rsid w:val="00271813"/>
    <w:rsid w:val="00271D50"/>
    <w:rsid w:val="00271F3A"/>
    <w:rsid w:val="00273278"/>
    <w:rsid w:val="002737F4"/>
    <w:rsid w:val="00280414"/>
    <w:rsid w:val="002805F5"/>
    <w:rsid w:val="00280751"/>
    <w:rsid w:val="0028280A"/>
    <w:rsid w:val="00286ACD"/>
    <w:rsid w:val="00287176"/>
    <w:rsid w:val="00287838"/>
    <w:rsid w:val="002907B5"/>
    <w:rsid w:val="00292EB7"/>
    <w:rsid w:val="00296227"/>
    <w:rsid w:val="00296F44"/>
    <w:rsid w:val="0029777D"/>
    <w:rsid w:val="002A055E"/>
    <w:rsid w:val="002A1D4E"/>
    <w:rsid w:val="002A2869"/>
    <w:rsid w:val="002A540C"/>
    <w:rsid w:val="002B24D6"/>
    <w:rsid w:val="002B528B"/>
    <w:rsid w:val="002B6B62"/>
    <w:rsid w:val="002C41E6"/>
    <w:rsid w:val="002C6A9F"/>
    <w:rsid w:val="002D071A"/>
    <w:rsid w:val="002D34B2"/>
    <w:rsid w:val="002D48B0"/>
    <w:rsid w:val="002D5B37"/>
    <w:rsid w:val="002D7637"/>
    <w:rsid w:val="002D7E2E"/>
    <w:rsid w:val="002E17F2"/>
    <w:rsid w:val="002E2A6B"/>
    <w:rsid w:val="002E5DF1"/>
    <w:rsid w:val="002E6BE6"/>
    <w:rsid w:val="002E7CAE"/>
    <w:rsid w:val="002F0FA6"/>
    <w:rsid w:val="002F2771"/>
    <w:rsid w:val="002F37A9"/>
    <w:rsid w:val="002F3C78"/>
    <w:rsid w:val="002F50E2"/>
    <w:rsid w:val="002F5E1A"/>
    <w:rsid w:val="00301CE6"/>
    <w:rsid w:val="00302539"/>
    <w:rsid w:val="0030256B"/>
    <w:rsid w:val="0030501F"/>
    <w:rsid w:val="00307BA1"/>
    <w:rsid w:val="00311702"/>
    <w:rsid w:val="00311E82"/>
    <w:rsid w:val="00313FD6"/>
    <w:rsid w:val="003143BD"/>
    <w:rsid w:val="00315363"/>
    <w:rsid w:val="0031658A"/>
    <w:rsid w:val="00317AB6"/>
    <w:rsid w:val="003203ED"/>
    <w:rsid w:val="00322C9F"/>
    <w:rsid w:val="0032468C"/>
    <w:rsid w:val="00324D23"/>
    <w:rsid w:val="00331751"/>
    <w:rsid w:val="00334579"/>
    <w:rsid w:val="00335080"/>
    <w:rsid w:val="00335858"/>
    <w:rsid w:val="00336BDA"/>
    <w:rsid w:val="00342BD7"/>
    <w:rsid w:val="00346DB5"/>
    <w:rsid w:val="003477B1"/>
    <w:rsid w:val="00357380"/>
    <w:rsid w:val="003602D9"/>
    <w:rsid w:val="003604CE"/>
    <w:rsid w:val="003648BC"/>
    <w:rsid w:val="00370E47"/>
    <w:rsid w:val="00371B60"/>
    <w:rsid w:val="00373137"/>
    <w:rsid w:val="003742AC"/>
    <w:rsid w:val="00374C7C"/>
    <w:rsid w:val="00377CE1"/>
    <w:rsid w:val="00385BF0"/>
    <w:rsid w:val="00387F57"/>
    <w:rsid w:val="003939FF"/>
    <w:rsid w:val="003A2223"/>
    <w:rsid w:val="003A2A0F"/>
    <w:rsid w:val="003A45A1"/>
    <w:rsid w:val="003A5B0A"/>
    <w:rsid w:val="003A6BAC"/>
    <w:rsid w:val="003A70A4"/>
    <w:rsid w:val="003A7EF3"/>
    <w:rsid w:val="003B159C"/>
    <w:rsid w:val="003B28B7"/>
    <w:rsid w:val="003B2F6F"/>
    <w:rsid w:val="003B369F"/>
    <w:rsid w:val="003B36A3"/>
    <w:rsid w:val="003B5B9D"/>
    <w:rsid w:val="003B64BB"/>
    <w:rsid w:val="003B7FE5"/>
    <w:rsid w:val="003C11C8"/>
    <w:rsid w:val="003C2702"/>
    <w:rsid w:val="003C7806"/>
    <w:rsid w:val="003D109F"/>
    <w:rsid w:val="003D2478"/>
    <w:rsid w:val="003D3C45"/>
    <w:rsid w:val="003D5B1F"/>
    <w:rsid w:val="003E15FA"/>
    <w:rsid w:val="003E55E4"/>
    <w:rsid w:val="003E74E3"/>
    <w:rsid w:val="003E7BC4"/>
    <w:rsid w:val="003E7CA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C12"/>
    <w:rsid w:val="00427248"/>
    <w:rsid w:val="00437447"/>
    <w:rsid w:val="00441A92"/>
    <w:rsid w:val="004431DC"/>
    <w:rsid w:val="00444F56"/>
    <w:rsid w:val="00446488"/>
    <w:rsid w:val="004517AA"/>
    <w:rsid w:val="00452CAC"/>
    <w:rsid w:val="00457565"/>
    <w:rsid w:val="00457B71"/>
    <w:rsid w:val="004669E2"/>
    <w:rsid w:val="00470C31"/>
    <w:rsid w:val="00471DE0"/>
    <w:rsid w:val="004721B2"/>
    <w:rsid w:val="00472392"/>
    <w:rsid w:val="004734D0"/>
    <w:rsid w:val="0047556B"/>
    <w:rsid w:val="00477768"/>
    <w:rsid w:val="00492BC5"/>
    <w:rsid w:val="00492EDE"/>
    <w:rsid w:val="004964F1"/>
    <w:rsid w:val="004A16BC"/>
    <w:rsid w:val="004A2B94"/>
    <w:rsid w:val="004A2D98"/>
    <w:rsid w:val="004B2B8A"/>
    <w:rsid w:val="004B6F6A"/>
    <w:rsid w:val="004B7C0C"/>
    <w:rsid w:val="004C3898"/>
    <w:rsid w:val="004D36B1"/>
    <w:rsid w:val="004D5DB7"/>
    <w:rsid w:val="004D7EBD"/>
    <w:rsid w:val="004E0B1F"/>
    <w:rsid w:val="004E2680"/>
    <w:rsid w:val="004E28F9"/>
    <w:rsid w:val="004E2930"/>
    <w:rsid w:val="004E462E"/>
    <w:rsid w:val="004E56DC"/>
    <w:rsid w:val="004E76F4"/>
    <w:rsid w:val="004F0B4E"/>
    <w:rsid w:val="004F0B6C"/>
    <w:rsid w:val="004F2078"/>
    <w:rsid w:val="004F427C"/>
    <w:rsid w:val="004F4DA3"/>
    <w:rsid w:val="004F71E2"/>
    <w:rsid w:val="00506557"/>
    <w:rsid w:val="0050677A"/>
    <w:rsid w:val="005108D8"/>
    <w:rsid w:val="005116F9"/>
    <w:rsid w:val="005153A7"/>
    <w:rsid w:val="005176AB"/>
    <w:rsid w:val="005219CF"/>
    <w:rsid w:val="005220C3"/>
    <w:rsid w:val="005227FA"/>
    <w:rsid w:val="00525217"/>
    <w:rsid w:val="0052527D"/>
    <w:rsid w:val="00533F98"/>
    <w:rsid w:val="00534B59"/>
    <w:rsid w:val="00536759"/>
    <w:rsid w:val="00537C62"/>
    <w:rsid w:val="0054223C"/>
    <w:rsid w:val="00546970"/>
    <w:rsid w:val="0055142D"/>
    <w:rsid w:val="00554E19"/>
    <w:rsid w:val="005606C7"/>
    <w:rsid w:val="00560A81"/>
    <w:rsid w:val="0056121F"/>
    <w:rsid w:val="00571FD3"/>
    <w:rsid w:val="00572505"/>
    <w:rsid w:val="005751E5"/>
    <w:rsid w:val="00582809"/>
    <w:rsid w:val="0058798C"/>
    <w:rsid w:val="005900FA"/>
    <w:rsid w:val="00590AB0"/>
    <w:rsid w:val="005935A4"/>
    <w:rsid w:val="005948C2"/>
    <w:rsid w:val="00595DCA"/>
    <w:rsid w:val="0059779B"/>
    <w:rsid w:val="005A209A"/>
    <w:rsid w:val="005A662D"/>
    <w:rsid w:val="005A72F1"/>
    <w:rsid w:val="005B1409"/>
    <w:rsid w:val="005B35D7"/>
    <w:rsid w:val="005B392A"/>
    <w:rsid w:val="005B3AA3"/>
    <w:rsid w:val="005B6F83"/>
    <w:rsid w:val="005C408D"/>
    <w:rsid w:val="005C74FB"/>
    <w:rsid w:val="005D03D6"/>
    <w:rsid w:val="005D1452"/>
    <w:rsid w:val="005D1602"/>
    <w:rsid w:val="005D20DE"/>
    <w:rsid w:val="005D6FEB"/>
    <w:rsid w:val="005D7921"/>
    <w:rsid w:val="005E168C"/>
    <w:rsid w:val="005E385F"/>
    <w:rsid w:val="005E5B81"/>
    <w:rsid w:val="005F2CB1"/>
    <w:rsid w:val="005F3025"/>
    <w:rsid w:val="005F618C"/>
    <w:rsid w:val="005F6F5C"/>
    <w:rsid w:val="005F70BD"/>
    <w:rsid w:val="0060283C"/>
    <w:rsid w:val="00604F14"/>
    <w:rsid w:val="006117C8"/>
    <w:rsid w:val="00611B83"/>
    <w:rsid w:val="00613257"/>
    <w:rsid w:val="00620A71"/>
    <w:rsid w:val="00620D80"/>
    <w:rsid w:val="006234A6"/>
    <w:rsid w:val="00630001"/>
    <w:rsid w:val="006311B3"/>
    <w:rsid w:val="00632303"/>
    <w:rsid w:val="0063284C"/>
    <w:rsid w:val="00636398"/>
    <w:rsid w:val="006368D3"/>
    <w:rsid w:val="006377EC"/>
    <w:rsid w:val="0064151F"/>
    <w:rsid w:val="00641533"/>
    <w:rsid w:val="0064208D"/>
    <w:rsid w:val="00643475"/>
    <w:rsid w:val="0064396A"/>
    <w:rsid w:val="0064624E"/>
    <w:rsid w:val="00647714"/>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91F"/>
    <w:rsid w:val="00690A3E"/>
    <w:rsid w:val="00695FC2"/>
    <w:rsid w:val="00696949"/>
    <w:rsid w:val="00697052"/>
    <w:rsid w:val="006A44E9"/>
    <w:rsid w:val="006A46FB"/>
    <w:rsid w:val="006A5E28"/>
    <w:rsid w:val="006A697B"/>
    <w:rsid w:val="006A7AFF"/>
    <w:rsid w:val="006B1816"/>
    <w:rsid w:val="006B1EB7"/>
    <w:rsid w:val="006B2099"/>
    <w:rsid w:val="006B50CF"/>
    <w:rsid w:val="006C03B8"/>
    <w:rsid w:val="006C5EC9"/>
    <w:rsid w:val="006C6059"/>
    <w:rsid w:val="006C7522"/>
    <w:rsid w:val="006D6BF9"/>
    <w:rsid w:val="006D6F08"/>
    <w:rsid w:val="006D78A4"/>
    <w:rsid w:val="006E062C"/>
    <w:rsid w:val="006E0985"/>
    <w:rsid w:val="006E1C82"/>
    <w:rsid w:val="006E28B7"/>
    <w:rsid w:val="006E2A9B"/>
    <w:rsid w:val="006E3310"/>
    <w:rsid w:val="006E49D7"/>
    <w:rsid w:val="006E4E39"/>
    <w:rsid w:val="006E565E"/>
    <w:rsid w:val="006E673D"/>
    <w:rsid w:val="006E7D3B"/>
    <w:rsid w:val="006F1B70"/>
    <w:rsid w:val="006F341D"/>
    <w:rsid w:val="006F3CDE"/>
    <w:rsid w:val="006F58D4"/>
    <w:rsid w:val="006F6582"/>
    <w:rsid w:val="00700A01"/>
    <w:rsid w:val="0070346E"/>
    <w:rsid w:val="00704EDB"/>
    <w:rsid w:val="00706056"/>
    <w:rsid w:val="00706101"/>
    <w:rsid w:val="00707072"/>
    <w:rsid w:val="00707D61"/>
    <w:rsid w:val="00712287"/>
    <w:rsid w:val="00712772"/>
    <w:rsid w:val="007148D3"/>
    <w:rsid w:val="00715B9A"/>
    <w:rsid w:val="007227B9"/>
    <w:rsid w:val="007257D0"/>
    <w:rsid w:val="00726EA6"/>
    <w:rsid w:val="00727208"/>
    <w:rsid w:val="00727680"/>
    <w:rsid w:val="007348B1"/>
    <w:rsid w:val="00734D4E"/>
    <w:rsid w:val="007362A6"/>
    <w:rsid w:val="00736D7D"/>
    <w:rsid w:val="007375F6"/>
    <w:rsid w:val="00737E3C"/>
    <w:rsid w:val="00740E58"/>
    <w:rsid w:val="007445A0"/>
    <w:rsid w:val="00744B8F"/>
    <w:rsid w:val="0074524B"/>
    <w:rsid w:val="00747619"/>
    <w:rsid w:val="00747A23"/>
    <w:rsid w:val="00747D8B"/>
    <w:rsid w:val="00751228"/>
    <w:rsid w:val="007571E1"/>
    <w:rsid w:val="007604B2"/>
    <w:rsid w:val="007608DF"/>
    <w:rsid w:val="00763AE0"/>
    <w:rsid w:val="00765281"/>
    <w:rsid w:val="00766BAD"/>
    <w:rsid w:val="007729A2"/>
    <w:rsid w:val="007755F2"/>
    <w:rsid w:val="00776971"/>
    <w:rsid w:val="00780A80"/>
    <w:rsid w:val="0078177E"/>
    <w:rsid w:val="0078304C"/>
    <w:rsid w:val="00783673"/>
    <w:rsid w:val="00785490"/>
    <w:rsid w:val="007925EA"/>
    <w:rsid w:val="00793193"/>
    <w:rsid w:val="00793CD8"/>
    <w:rsid w:val="00795C92"/>
    <w:rsid w:val="00796231"/>
    <w:rsid w:val="007A1CB3"/>
    <w:rsid w:val="007A306F"/>
    <w:rsid w:val="007A43A6"/>
    <w:rsid w:val="007A516A"/>
    <w:rsid w:val="007A557E"/>
    <w:rsid w:val="007A58A6"/>
    <w:rsid w:val="007B3D2D"/>
    <w:rsid w:val="007B50AE"/>
    <w:rsid w:val="007B51DF"/>
    <w:rsid w:val="007C05DD"/>
    <w:rsid w:val="007C1875"/>
    <w:rsid w:val="007C2DF7"/>
    <w:rsid w:val="007C3D18"/>
    <w:rsid w:val="007C60BF"/>
    <w:rsid w:val="007C6A07"/>
    <w:rsid w:val="007C75A1"/>
    <w:rsid w:val="007C77A5"/>
    <w:rsid w:val="007D04E5"/>
    <w:rsid w:val="007D5901"/>
    <w:rsid w:val="007D71DF"/>
    <w:rsid w:val="007D7526"/>
    <w:rsid w:val="007E4610"/>
    <w:rsid w:val="007E4715"/>
    <w:rsid w:val="007E505B"/>
    <w:rsid w:val="007E7091"/>
    <w:rsid w:val="00800F08"/>
    <w:rsid w:val="00803FAE"/>
    <w:rsid w:val="0080541D"/>
    <w:rsid w:val="0080605F"/>
    <w:rsid w:val="00807786"/>
    <w:rsid w:val="00811FCB"/>
    <w:rsid w:val="008158D6"/>
    <w:rsid w:val="00817196"/>
    <w:rsid w:val="008235DB"/>
    <w:rsid w:val="00824AB4"/>
    <w:rsid w:val="00825C42"/>
    <w:rsid w:val="00825D25"/>
    <w:rsid w:val="00827D6F"/>
    <w:rsid w:val="008376AC"/>
    <w:rsid w:val="0084397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43F"/>
    <w:rsid w:val="008A77D8"/>
    <w:rsid w:val="008A7E29"/>
    <w:rsid w:val="008B0483"/>
    <w:rsid w:val="008B120C"/>
    <w:rsid w:val="008B46E8"/>
    <w:rsid w:val="008B51A0"/>
    <w:rsid w:val="008B592A"/>
    <w:rsid w:val="008B7B5C"/>
    <w:rsid w:val="008C047D"/>
    <w:rsid w:val="008C0C99"/>
    <w:rsid w:val="008C191D"/>
    <w:rsid w:val="008C2017"/>
    <w:rsid w:val="008C4958"/>
    <w:rsid w:val="008C4BAA"/>
    <w:rsid w:val="008C6AE8"/>
    <w:rsid w:val="008C7573"/>
    <w:rsid w:val="008D00A5"/>
    <w:rsid w:val="008D3424"/>
    <w:rsid w:val="008D34F1"/>
    <w:rsid w:val="008D39D8"/>
    <w:rsid w:val="008D6D1A"/>
    <w:rsid w:val="008E065E"/>
    <w:rsid w:val="008E0927"/>
    <w:rsid w:val="008E1909"/>
    <w:rsid w:val="008F1C4E"/>
    <w:rsid w:val="008F1EAB"/>
    <w:rsid w:val="008F33DC"/>
    <w:rsid w:val="008F477F"/>
    <w:rsid w:val="008F735C"/>
    <w:rsid w:val="00902350"/>
    <w:rsid w:val="0090336B"/>
    <w:rsid w:val="00903EBA"/>
    <w:rsid w:val="009053AA"/>
    <w:rsid w:val="00906939"/>
    <w:rsid w:val="00907D8D"/>
    <w:rsid w:val="00910B7D"/>
    <w:rsid w:val="00911DFB"/>
    <w:rsid w:val="009139D9"/>
    <w:rsid w:val="00914AD8"/>
    <w:rsid w:val="00916079"/>
    <w:rsid w:val="00917CE9"/>
    <w:rsid w:val="00920BF2"/>
    <w:rsid w:val="00922010"/>
    <w:rsid w:val="00927AE7"/>
    <w:rsid w:val="00931BD9"/>
    <w:rsid w:val="009368F3"/>
    <w:rsid w:val="009404C0"/>
    <w:rsid w:val="00941636"/>
    <w:rsid w:val="00943742"/>
    <w:rsid w:val="00944626"/>
    <w:rsid w:val="00945C05"/>
    <w:rsid w:val="00946945"/>
    <w:rsid w:val="00947713"/>
    <w:rsid w:val="00950DE7"/>
    <w:rsid w:val="009531BF"/>
    <w:rsid w:val="00953920"/>
    <w:rsid w:val="00953D47"/>
    <w:rsid w:val="00955F85"/>
    <w:rsid w:val="0095681E"/>
    <w:rsid w:val="009572D4"/>
    <w:rsid w:val="00961921"/>
    <w:rsid w:val="00961ADC"/>
    <w:rsid w:val="0096430A"/>
    <w:rsid w:val="0096554B"/>
    <w:rsid w:val="0096584A"/>
    <w:rsid w:val="00971F08"/>
    <w:rsid w:val="0097571A"/>
    <w:rsid w:val="0097603D"/>
    <w:rsid w:val="00976949"/>
    <w:rsid w:val="009802DB"/>
    <w:rsid w:val="00980477"/>
    <w:rsid w:val="00985253"/>
    <w:rsid w:val="009853B3"/>
    <w:rsid w:val="00990630"/>
    <w:rsid w:val="00991761"/>
    <w:rsid w:val="00994DCA"/>
    <w:rsid w:val="009960EC"/>
    <w:rsid w:val="009970DD"/>
    <w:rsid w:val="009A0FBA"/>
    <w:rsid w:val="009A1601"/>
    <w:rsid w:val="009A3BB6"/>
    <w:rsid w:val="009A462D"/>
    <w:rsid w:val="009A5CBA"/>
    <w:rsid w:val="009A6A51"/>
    <w:rsid w:val="009B1F30"/>
    <w:rsid w:val="009B3AC2"/>
    <w:rsid w:val="009B4DF4"/>
    <w:rsid w:val="009B564E"/>
    <w:rsid w:val="009B7E87"/>
    <w:rsid w:val="009C0169"/>
    <w:rsid w:val="009C403E"/>
    <w:rsid w:val="009C53E9"/>
    <w:rsid w:val="009C7C87"/>
    <w:rsid w:val="009D4FF0"/>
    <w:rsid w:val="009D703C"/>
    <w:rsid w:val="009D718F"/>
    <w:rsid w:val="009D7460"/>
    <w:rsid w:val="009E068F"/>
    <w:rsid w:val="009E14E0"/>
    <w:rsid w:val="009E35DB"/>
    <w:rsid w:val="009E47A3"/>
    <w:rsid w:val="009F08F3"/>
    <w:rsid w:val="009F344F"/>
    <w:rsid w:val="009F3FC3"/>
    <w:rsid w:val="00A031D8"/>
    <w:rsid w:val="00A048A8"/>
    <w:rsid w:val="00A04F49"/>
    <w:rsid w:val="00A13E54"/>
    <w:rsid w:val="00A17F63"/>
    <w:rsid w:val="00A2193B"/>
    <w:rsid w:val="00A2351A"/>
    <w:rsid w:val="00A264A9"/>
    <w:rsid w:val="00A26DCF"/>
    <w:rsid w:val="00A27785"/>
    <w:rsid w:val="00A30187"/>
    <w:rsid w:val="00A3448A"/>
    <w:rsid w:val="00A3520D"/>
    <w:rsid w:val="00A36297"/>
    <w:rsid w:val="00A41E2B"/>
    <w:rsid w:val="00A45B74"/>
    <w:rsid w:val="00A46B93"/>
    <w:rsid w:val="00A52E1D"/>
    <w:rsid w:val="00A60162"/>
    <w:rsid w:val="00A61499"/>
    <w:rsid w:val="00A61B83"/>
    <w:rsid w:val="00A62A77"/>
    <w:rsid w:val="00A63483"/>
    <w:rsid w:val="00A657D7"/>
    <w:rsid w:val="00A660AC"/>
    <w:rsid w:val="00A6680A"/>
    <w:rsid w:val="00A67E6C"/>
    <w:rsid w:val="00A71B99"/>
    <w:rsid w:val="00A739D0"/>
    <w:rsid w:val="00A741A1"/>
    <w:rsid w:val="00A761D4"/>
    <w:rsid w:val="00A77EC4"/>
    <w:rsid w:val="00A84A44"/>
    <w:rsid w:val="00A92879"/>
    <w:rsid w:val="00A9442A"/>
    <w:rsid w:val="00AA016F"/>
    <w:rsid w:val="00AA1ED6"/>
    <w:rsid w:val="00AA26DB"/>
    <w:rsid w:val="00AA51D6"/>
    <w:rsid w:val="00AB0BC8"/>
    <w:rsid w:val="00AB11CA"/>
    <w:rsid w:val="00AB14D9"/>
    <w:rsid w:val="00AB4AB8"/>
    <w:rsid w:val="00AB655E"/>
    <w:rsid w:val="00AC007F"/>
    <w:rsid w:val="00AC2ECD"/>
    <w:rsid w:val="00AC3119"/>
    <w:rsid w:val="00AC49FB"/>
    <w:rsid w:val="00AC5A10"/>
    <w:rsid w:val="00AC6BAD"/>
    <w:rsid w:val="00AC6F2C"/>
    <w:rsid w:val="00AD0AA3"/>
    <w:rsid w:val="00AD2ED0"/>
    <w:rsid w:val="00AD3F94"/>
    <w:rsid w:val="00AD4A5A"/>
    <w:rsid w:val="00AE00D5"/>
    <w:rsid w:val="00AE27AC"/>
    <w:rsid w:val="00AE40E0"/>
    <w:rsid w:val="00AE4DBA"/>
    <w:rsid w:val="00AE4F07"/>
    <w:rsid w:val="00AE5CFD"/>
    <w:rsid w:val="00AE6590"/>
    <w:rsid w:val="00AF142A"/>
    <w:rsid w:val="00AF1C5D"/>
    <w:rsid w:val="00AF42D7"/>
    <w:rsid w:val="00B006FE"/>
    <w:rsid w:val="00B007CB"/>
    <w:rsid w:val="00B02AA9"/>
    <w:rsid w:val="00B02FA3"/>
    <w:rsid w:val="00B05084"/>
    <w:rsid w:val="00B06C0D"/>
    <w:rsid w:val="00B149C3"/>
    <w:rsid w:val="00B157F9"/>
    <w:rsid w:val="00B20256"/>
    <w:rsid w:val="00B20D09"/>
    <w:rsid w:val="00B21306"/>
    <w:rsid w:val="00B2763F"/>
    <w:rsid w:val="00B27AAC"/>
    <w:rsid w:val="00B30929"/>
    <w:rsid w:val="00B32301"/>
    <w:rsid w:val="00B372AA"/>
    <w:rsid w:val="00B40445"/>
    <w:rsid w:val="00B409E0"/>
    <w:rsid w:val="00B41888"/>
    <w:rsid w:val="00B429CF"/>
    <w:rsid w:val="00B45A52"/>
    <w:rsid w:val="00B46175"/>
    <w:rsid w:val="00B548B7"/>
    <w:rsid w:val="00B57F55"/>
    <w:rsid w:val="00B64CCD"/>
    <w:rsid w:val="00B6582B"/>
    <w:rsid w:val="00B664C7"/>
    <w:rsid w:val="00B739F6"/>
    <w:rsid w:val="00B7605B"/>
    <w:rsid w:val="00B81A6C"/>
    <w:rsid w:val="00B85DE5"/>
    <w:rsid w:val="00B90F73"/>
    <w:rsid w:val="00B93B59"/>
    <w:rsid w:val="00B9406A"/>
    <w:rsid w:val="00BA2280"/>
    <w:rsid w:val="00BA2A08"/>
    <w:rsid w:val="00BA357A"/>
    <w:rsid w:val="00BA3E95"/>
    <w:rsid w:val="00BA56D2"/>
    <w:rsid w:val="00BA76E0"/>
    <w:rsid w:val="00BB2A25"/>
    <w:rsid w:val="00BB3C74"/>
    <w:rsid w:val="00BB45CB"/>
    <w:rsid w:val="00BB51E9"/>
    <w:rsid w:val="00BC0FDC"/>
    <w:rsid w:val="00BC3053"/>
    <w:rsid w:val="00BC4D2E"/>
    <w:rsid w:val="00BC6D87"/>
    <w:rsid w:val="00BD2079"/>
    <w:rsid w:val="00BD48AC"/>
    <w:rsid w:val="00BD5F1A"/>
    <w:rsid w:val="00BE1234"/>
    <w:rsid w:val="00BE2FA6"/>
    <w:rsid w:val="00BE333F"/>
    <w:rsid w:val="00BE7406"/>
    <w:rsid w:val="00BE7603"/>
    <w:rsid w:val="00BF3279"/>
    <w:rsid w:val="00BF74C7"/>
    <w:rsid w:val="00C00B89"/>
    <w:rsid w:val="00C015F1"/>
    <w:rsid w:val="00C01F33"/>
    <w:rsid w:val="00C02CC6"/>
    <w:rsid w:val="00C040F7"/>
    <w:rsid w:val="00C044AB"/>
    <w:rsid w:val="00C05706"/>
    <w:rsid w:val="00C07377"/>
    <w:rsid w:val="00C10478"/>
    <w:rsid w:val="00C1135D"/>
    <w:rsid w:val="00C12107"/>
    <w:rsid w:val="00C14D4B"/>
    <w:rsid w:val="00C154BB"/>
    <w:rsid w:val="00C279B5"/>
    <w:rsid w:val="00C27C45"/>
    <w:rsid w:val="00C3719D"/>
    <w:rsid w:val="00C37CB2"/>
    <w:rsid w:val="00C473A5"/>
    <w:rsid w:val="00C5240B"/>
    <w:rsid w:val="00C54995"/>
    <w:rsid w:val="00C54D41"/>
    <w:rsid w:val="00C57A2E"/>
    <w:rsid w:val="00C60783"/>
    <w:rsid w:val="00C64672"/>
    <w:rsid w:val="00C70697"/>
    <w:rsid w:val="00C72093"/>
    <w:rsid w:val="00C72EF4"/>
    <w:rsid w:val="00C744FE"/>
    <w:rsid w:val="00C75D2F"/>
    <w:rsid w:val="00C767BE"/>
    <w:rsid w:val="00C76E3C"/>
    <w:rsid w:val="00C77FA9"/>
    <w:rsid w:val="00C81568"/>
    <w:rsid w:val="00C83A41"/>
    <w:rsid w:val="00C9027A"/>
    <w:rsid w:val="00C9068E"/>
    <w:rsid w:val="00C90DAC"/>
    <w:rsid w:val="00C93814"/>
    <w:rsid w:val="00C93C4B"/>
    <w:rsid w:val="00C944AB"/>
    <w:rsid w:val="00C95B40"/>
    <w:rsid w:val="00CA1ED8"/>
    <w:rsid w:val="00CA1F7E"/>
    <w:rsid w:val="00CA64C7"/>
    <w:rsid w:val="00CA78E3"/>
    <w:rsid w:val="00CB1F63"/>
    <w:rsid w:val="00CB3E1A"/>
    <w:rsid w:val="00CB7170"/>
    <w:rsid w:val="00CC040E"/>
    <w:rsid w:val="00CC04E3"/>
    <w:rsid w:val="00CC111F"/>
    <w:rsid w:val="00CC2011"/>
    <w:rsid w:val="00CC3EA0"/>
    <w:rsid w:val="00CC7AC2"/>
    <w:rsid w:val="00CC7B45"/>
    <w:rsid w:val="00CD1188"/>
    <w:rsid w:val="00CD2ED1"/>
    <w:rsid w:val="00CD337B"/>
    <w:rsid w:val="00CD48BA"/>
    <w:rsid w:val="00CE0424"/>
    <w:rsid w:val="00CE2DEC"/>
    <w:rsid w:val="00CE7561"/>
    <w:rsid w:val="00CF1354"/>
    <w:rsid w:val="00CF3B1F"/>
    <w:rsid w:val="00CF3BF6"/>
    <w:rsid w:val="00CF625B"/>
    <w:rsid w:val="00CF687E"/>
    <w:rsid w:val="00D0349B"/>
    <w:rsid w:val="00D06D89"/>
    <w:rsid w:val="00D10249"/>
    <w:rsid w:val="00D115C3"/>
    <w:rsid w:val="00D11897"/>
    <w:rsid w:val="00D13135"/>
    <w:rsid w:val="00D13E4E"/>
    <w:rsid w:val="00D17377"/>
    <w:rsid w:val="00D20643"/>
    <w:rsid w:val="00D239A7"/>
    <w:rsid w:val="00D23F47"/>
    <w:rsid w:val="00D36E71"/>
    <w:rsid w:val="00D37D87"/>
    <w:rsid w:val="00D40B33"/>
    <w:rsid w:val="00D4318F"/>
    <w:rsid w:val="00D438BF"/>
    <w:rsid w:val="00D440F8"/>
    <w:rsid w:val="00D52393"/>
    <w:rsid w:val="00D546FF"/>
    <w:rsid w:val="00D55AD5"/>
    <w:rsid w:val="00D576CA"/>
    <w:rsid w:val="00D61AF5"/>
    <w:rsid w:val="00D652B5"/>
    <w:rsid w:val="00D66155"/>
    <w:rsid w:val="00D708B0"/>
    <w:rsid w:val="00D70CD2"/>
    <w:rsid w:val="00D77B14"/>
    <w:rsid w:val="00D77B1D"/>
    <w:rsid w:val="00D8021F"/>
    <w:rsid w:val="00D80383"/>
    <w:rsid w:val="00D823C6"/>
    <w:rsid w:val="00D8327F"/>
    <w:rsid w:val="00D86BC0"/>
    <w:rsid w:val="00D86CA3"/>
    <w:rsid w:val="00D871CE"/>
    <w:rsid w:val="00D87376"/>
    <w:rsid w:val="00D902CC"/>
    <w:rsid w:val="00D9196D"/>
    <w:rsid w:val="00D92403"/>
    <w:rsid w:val="00D92982"/>
    <w:rsid w:val="00DA305E"/>
    <w:rsid w:val="00DA356A"/>
    <w:rsid w:val="00DA5417"/>
    <w:rsid w:val="00DA56E8"/>
    <w:rsid w:val="00DB0A9F"/>
    <w:rsid w:val="00DB377D"/>
    <w:rsid w:val="00DC2D36"/>
    <w:rsid w:val="00DC32F0"/>
    <w:rsid w:val="00DC504F"/>
    <w:rsid w:val="00DC53EF"/>
    <w:rsid w:val="00DC58FB"/>
    <w:rsid w:val="00DD17DA"/>
    <w:rsid w:val="00DE5608"/>
    <w:rsid w:val="00DE58D0"/>
    <w:rsid w:val="00DE5C82"/>
    <w:rsid w:val="00DE654F"/>
    <w:rsid w:val="00DF09C1"/>
    <w:rsid w:val="00DF0B6E"/>
    <w:rsid w:val="00DF15E0"/>
    <w:rsid w:val="00DF37A0"/>
    <w:rsid w:val="00E110E7"/>
    <w:rsid w:val="00E11B20"/>
    <w:rsid w:val="00E17FA2"/>
    <w:rsid w:val="00E22330"/>
    <w:rsid w:val="00E255E7"/>
    <w:rsid w:val="00E30B5A"/>
    <w:rsid w:val="00E3123D"/>
    <w:rsid w:val="00E31461"/>
    <w:rsid w:val="00E31D43"/>
    <w:rsid w:val="00E32608"/>
    <w:rsid w:val="00E33E2C"/>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3A9"/>
    <w:rsid w:val="00E71F22"/>
    <w:rsid w:val="00E72EFC"/>
    <w:rsid w:val="00E758EC"/>
    <w:rsid w:val="00E76DC0"/>
    <w:rsid w:val="00E77283"/>
    <w:rsid w:val="00E8234C"/>
    <w:rsid w:val="00E83AA9"/>
    <w:rsid w:val="00E85928"/>
    <w:rsid w:val="00E87822"/>
    <w:rsid w:val="00E90395"/>
    <w:rsid w:val="00E90E49"/>
    <w:rsid w:val="00E917F9"/>
    <w:rsid w:val="00E9291C"/>
    <w:rsid w:val="00E93FFE"/>
    <w:rsid w:val="00E94F8A"/>
    <w:rsid w:val="00E965EB"/>
    <w:rsid w:val="00E97103"/>
    <w:rsid w:val="00EA7A41"/>
    <w:rsid w:val="00EB077B"/>
    <w:rsid w:val="00EB4EA2"/>
    <w:rsid w:val="00EC24D5"/>
    <w:rsid w:val="00EC27C6"/>
    <w:rsid w:val="00EC4207"/>
    <w:rsid w:val="00EC5653"/>
    <w:rsid w:val="00EC71CE"/>
    <w:rsid w:val="00ED1006"/>
    <w:rsid w:val="00ED4681"/>
    <w:rsid w:val="00EE1D34"/>
    <w:rsid w:val="00EE55B1"/>
    <w:rsid w:val="00EE7A78"/>
    <w:rsid w:val="00EF18FE"/>
    <w:rsid w:val="00EF5787"/>
    <w:rsid w:val="00EF60D0"/>
    <w:rsid w:val="00EF63F9"/>
    <w:rsid w:val="00EF6AE4"/>
    <w:rsid w:val="00F0222F"/>
    <w:rsid w:val="00F0528D"/>
    <w:rsid w:val="00F06C67"/>
    <w:rsid w:val="00F06DFD"/>
    <w:rsid w:val="00F071D1"/>
    <w:rsid w:val="00F07382"/>
    <w:rsid w:val="00F07533"/>
    <w:rsid w:val="00F10629"/>
    <w:rsid w:val="00F13311"/>
    <w:rsid w:val="00F14329"/>
    <w:rsid w:val="00F15FA5"/>
    <w:rsid w:val="00F207EA"/>
    <w:rsid w:val="00F209B7"/>
    <w:rsid w:val="00F2376F"/>
    <w:rsid w:val="00F243D8"/>
    <w:rsid w:val="00F30828"/>
    <w:rsid w:val="00F313D6"/>
    <w:rsid w:val="00F31E39"/>
    <w:rsid w:val="00F40F0C"/>
    <w:rsid w:val="00F46C55"/>
    <w:rsid w:val="00F4766C"/>
    <w:rsid w:val="00F5060E"/>
    <w:rsid w:val="00F507D1"/>
    <w:rsid w:val="00F519CE"/>
    <w:rsid w:val="00F51ADA"/>
    <w:rsid w:val="00F546CF"/>
    <w:rsid w:val="00F60203"/>
    <w:rsid w:val="00F607C5"/>
    <w:rsid w:val="00F60DEA"/>
    <w:rsid w:val="00F611E4"/>
    <w:rsid w:val="00F6302A"/>
    <w:rsid w:val="00F63950"/>
    <w:rsid w:val="00F64C2B"/>
    <w:rsid w:val="00F651BE"/>
    <w:rsid w:val="00F67F53"/>
    <w:rsid w:val="00F703BE"/>
    <w:rsid w:val="00F71F69"/>
    <w:rsid w:val="00F72B72"/>
    <w:rsid w:val="00F74BB9"/>
    <w:rsid w:val="00F75582"/>
    <w:rsid w:val="00F76EFA"/>
    <w:rsid w:val="00F804BE"/>
    <w:rsid w:val="00F817CE"/>
    <w:rsid w:val="00F828FE"/>
    <w:rsid w:val="00F8456C"/>
    <w:rsid w:val="00F859D8"/>
    <w:rsid w:val="00F867FB"/>
    <w:rsid w:val="00F868F5"/>
    <w:rsid w:val="00F9056A"/>
    <w:rsid w:val="00F90F8D"/>
    <w:rsid w:val="00F92782"/>
    <w:rsid w:val="00F93AA9"/>
    <w:rsid w:val="00F96985"/>
    <w:rsid w:val="00F97838"/>
    <w:rsid w:val="00FA2BB3"/>
    <w:rsid w:val="00FB4C80"/>
    <w:rsid w:val="00FB6A6A"/>
    <w:rsid w:val="00FC4701"/>
    <w:rsid w:val="00FC7429"/>
    <w:rsid w:val="00FD07F6"/>
    <w:rsid w:val="00FD1EC8"/>
    <w:rsid w:val="00FD3004"/>
    <w:rsid w:val="00FD47ED"/>
    <w:rsid w:val="00FD74DB"/>
    <w:rsid w:val="00FD7660"/>
    <w:rsid w:val="00FE0655"/>
    <w:rsid w:val="00FE1B7A"/>
    <w:rsid w:val="00FE2365"/>
    <w:rsid w:val="00FE37D7"/>
    <w:rsid w:val="00FE4C7B"/>
    <w:rsid w:val="00FE5D80"/>
    <w:rsid w:val="00FE7336"/>
    <w:rsid w:val="00FE787C"/>
    <w:rsid w:val="00FF05B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CA64C7"/>
    <w:rPr>
      <w:color w:val="605E5C"/>
      <w:shd w:val="clear" w:color="auto" w:fill="E1DFDD"/>
    </w:rPr>
  </w:style>
  <w:style w:type="character" w:styleId="PlaceholderText">
    <w:name w:val="Placeholder Text"/>
    <w:basedOn w:val="DefaultParagraphFont"/>
    <w:uiPriority w:val="99"/>
    <w:semiHidden/>
    <w:rsid w:val="00B32301"/>
    <w:rPr>
      <w:color w:val="808080"/>
    </w:rPr>
  </w:style>
  <w:style w:type="paragraph" w:customStyle="1" w:styleId="Style1">
    <w:name w:val="Style1"/>
    <w:basedOn w:val="Normal"/>
    <w:link w:val="Style1Char"/>
    <w:qFormat/>
    <w:rsid w:val="00120B46"/>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rsid w:val="00120B46"/>
    <w:rPr>
      <w:rFonts w:ascii="Times New Roman" w:eastAsia="Malgun Gothic" w:hAnsi="Times New Roman" w:cs="Batang"/>
      <w:lang w:eastAsia="en-US"/>
    </w:rPr>
  </w:style>
  <w:style w:type="paragraph" w:styleId="NormalWeb">
    <w:name w:val="Normal (Web)"/>
    <w:basedOn w:val="Normal"/>
    <w:uiPriority w:val="99"/>
    <w:rsid w:val="007A516A"/>
    <w:pPr>
      <w:overflowPunct/>
      <w:autoSpaceDE/>
      <w:autoSpaceDN/>
      <w:adjustRightInd/>
      <w:spacing w:before="100" w:beforeAutospacing="1" w:after="100" w:afterAutospacing="1"/>
      <w:ind w:left="720" w:hanging="720"/>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629290284">
      <w:bodyDiv w:val="1"/>
      <w:marLeft w:val="0"/>
      <w:marRight w:val="0"/>
      <w:marTop w:val="0"/>
      <w:marBottom w:val="0"/>
      <w:divBdr>
        <w:top w:val="none" w:sz="0" w:space="0" w:color="auto"/>
        <w:left w:val="none" w:sz="0" w:space="0" w:color="auto"/>
        <w:bottom w:val="none" w:sz="0" w:space="0" w:color="auto"/>
        <w:right w:val="none" w:sz="0" w:space="0" w:color="auto"/>
      </w:divBdr>
      <w:divsChild>
        <w:div w:id="2096705240">
          <w:marLeft w:val="1123"/>
          <w:marRight w:val="0"/>
          <w:marTop w:val="60"/>
          <w:marBottom w:val="0"/>
          <w:divBdr>
            <w:top w:val="none" w:sz="0" w:space="0" w:color="auto"/>
            <w:left w:val="none" w:sz="0" w:space="0" w:color="auto"/>
            <w:bottom w:val="none" w:sz="0" w:space="0" w:color="auto"/>
            <w:right w:val="none" w:sz="0" w:space="0" w:color="auto"/>
          </w:divBdr>
        </w:div>
        <w:div w:id="610405877">
          <w:marLeft w:val="1699"/>
          <w:marRight w:val="0"/>
          <w:marTop w:val="60"/>
          <w:marBottom w:val="0"/>
          <w:divBdr>
            <w:top w:val="none" w:sz="0" w:space="0" w:color="auto"/>
            <w:left w:val="none" w:sz="0" w:space="0" w:color="auto"/>
            <w:bottom w:val="none" w:sz="0" w:space="0" w:color="auto"/>
            <w:right w:val="none" w:sz="0" w:space="0" w:color="auto"/>
          </w:divBdr>
        </w:div>
        <w:div w:id="948245127">
          <w:marLeft w:val="1123"/>
          <w:marRight w:val="0"/>
          <w:marTop w:val="60"/>
          <w:marBottom w:val="0"/>
          <w:divBdr>
            <w:top w:val="none" w:sz="0" w:space="0" w:color="auto"/>
            <w:left w:val="none" w:sz="0" w:space="0" w:color="auto"/>
            <w:bottom w:val="none" w:sz="0" w:space="0" w:color="auto"/>
            <w:right w:val="none" w:sz="0" w:space="0" w:color="auto"/>
          </w:divBdr>
        </w:div>
      </w:divsChild>
    </w:div>
    <w:div w:id="928543252">
      <w:bodyDiv w:val="1"/>
      <w:marLeft w:val="0"/>
      <w:marRight w:val="0"/>
      <w:marTop w:val="0"/>
      <w:marBottom w:val="0"/>
      <w:divBdr>
        <w:top w:val="none" w:sz="0" w:space="0" w:color="auto"/>
        <w:left w:val="none" w:sz="0" w:space="0" w:color="auto"/>
        <w:bottom w:val="none" w:sz="0" w:space="0" w:color="auto"/>
        <w:right w:val="none" w:sz="0" w:space="0" w:color="auto"/>
      </w:divBdr>
    </w:div>
    <w:div w:id="936670427">
      <w:bodyDiv w:val="1"/>
      <w:marLeft w:val="0"/>
      <w:marRight w:val="0"/>
      <w:marTop w:val="0"/>
      <w:marBottom w:val="0"/>
      <w:divBdr>
        <w:top w:val="none" w:sz="0" w:space="0" w:color="auto"/>
        <w:left w:val="none" w:sz="0" w:space="0" w:color="auto"/>
        <w:bottom w:val="none" w:sz="0" w:space="0" w:color="auto"/>
        <w:right w:val="none" w:sz="0" w:space="0" w:color="auto"/>
      </w:divBdr>
      <w:divsChild>
        <w:div w:id="1743915978">
          <w:marLeft w:val="1123"/>
          <w:marRight w:val="0"/>
          <w:marTop w:val="60"/>
          <w:marBottom w:val="0"/>
          <w:divBdr>
            <w:top w:val="none" w:sz="0" w:space="0" w:color="auto"/>
            <w:left w:val="none" w:sz="0" w:space="0" w:color="auto"/>
            <w:bottom w:val="none" w:sz="0" w:space="0" w:color="auto"/>
            <w:right w:val="none" w:sz="0" w:space="0" w:color="auto"/>
          </w:divBdr>
        </w:div>
        <w:div w:id="882835963">
          <w:marLeft w:val="1699"/>
          <w:marRight w:val="0"/>
          <w:marTop w:val="60"/>
          <w:marBottom w:val="0"/>
          <w:divBdr>
            <w:top w:val="none" w:sz="0" w:space="0" w:color="auto"/>
            <w:left w:val="none" w:sz="0" w:space="0" w:color="auto"/>
            <w:bottom w:val="none" w:sz="0" w:space="0" w:color="auto"/>
            <w:right w:val="none" w:sz="0" w:space="0" w:color="auto"/>
          </w:divBdr>
        </w:div>
        <w:div w:id="52780122">
          <w:marLeft w:val="1123"/>
          <w:marRight w:val="0"/>
          <w:marTop w:val="60"/>
          <w:marBottom w:val="0"/>
          <w:divBdr>
            <w:top w:val="none" w:sz="0" w:space="0" w:color="auto"/>
            <w:left w:val="none" w:sz="0" w:space="0" w:color="auto"/>
            <w:bottom w:val="none" w:sz="0" w:space="0" w:color="auto"/>
            <w:right w:val="none" w:sz="0" w:space="0" w:color="auto"/>
          </w:divBdr>
        </w:div>
      </w:divsChild>
    </w:div>
    <w:div w:id="1000735642">
      <w:bodyDiv w:val="1"/>
      <w:marLeft w:val="0"/>
      <w:marRight w:val="0"/>
      <w:marTop w:val="0"/>
      <w:marBottom w:val="0"/>
      <w:divBdr>
        <w:top w:val="none" w:sz="0" w:space="0" w:color="auto"/>
        <w:left w:val="none" w:sz="0" w:space="0" w:color="auto"/>
        <w:bottom w:val="none" w:sz="0" w:space="0" w:color="auto"/>
        <w:right w:val="none" w:sz="0" w:space="0" w:color="auto"/>
      </w:divBdr>
    </w:div>
    <w:div w:id="1176581286">
      <w:bodyDiv w:val="1"/>
      <w:marLeft w:val="0"/>
      <w:marRight w:val="0"/>
      <w:marTop w:val="0"/>
      <w:marBottom w:val="0"/>
      <w:divBdr>
        <w:top w:val="none" w:sz="0" w:space="0" w:color="auto"/>
        <w:left w:val="none" w:sz="0" w:space="0" w:color="auto"/>
        <w:bottom w:val="none" w:sz="0" w:space="0" w:color="auto"/>
        <w:right w:val="none" w:sz="0" w:space="0" w:color="auto"/>
      </w:divBdr>
    </w:div>
    <w:div w:id="1684895921">
      <w:bodyDiv w:val="1"/>
      <w:marLeft w:val="0"/>
      <w:marRight w:val="0"/>
      <w:marTop w:val="0"/>
      <w:marBottom w:val="0"/>
      <w:divBdr>
        <w:top w:val="none" w:sz="0" w:space="0" w:color="auto"/>
        <w:left w:val="none" w:sz="0" w:space="0" w:color="auto"/>
        <w:bottom w:val="none" w:sz="0" w:space="0" w:color="auto"/>
        <w:right w:val="none" w:sz="0" w:space="0" w:color="auto"/>
      </w:divBdr>
      <w:divsChild>
        <w:div w:id="1335374708">
          <w:marLeft w:val="547"/>
          <w:marRight w:val="0"/>
          <w:marTop w:val="60"/>
          <w:marBottom w:val="0"/>
          <w:divBdr>
            <w:top w:val="none" w:sz="0" w:space="0" w:color="auto"/>
            <w:left w:val="none" w:sz="0" w:space="0" w:color="auto"/>
            <w:bottom w:val="none" w:sz="0" w:space="0" w:color="auto"/>
            <w:right w:val="none" w:sz="0" w:space="0" w:color="auto"/>
          </w:divBdr>
        </w:div>
        <w:div w:id="940379662">
          <w:marLeft w:val="547"/>
          <w:marRight w:val="0"/>
          <w:marTop w:val="60"/>
          <w:marBottom w:val="0"/>
          <w:divBdr>
            <w:top w:val="none" w:sz="0" w:space="0" w:color="auto"/>
            <w:left w:val="none" w:sz="0" w:space="0" w:color="auto"/>
            <w:bottom w:val="none" w:sz="0" w:space="0" w:color="auto"/>
            <w:right w:val="none" w:sz="0" w:space="0" w:color="auto"/>
          </w:divBdr>
        </w:div>
        <w:div w:id="1547643405">
          <w:marLeft w:val="547"/>
          <w:marRight w:val="0"/>
          <w:marTop w:val="60"/>
          <w:marBottom w:val="0"/>
          <w:divBdr>
            <w:top w:val="none" w:sz="0" w:space="0" w:color="auto"/>
            <w:left w:val="none" w:sz="0" w:space="0" w:color="auto"/>
            <w:bottom w:val="none" w:sz="0" w:space="0" w:color="auto"/>
            <w:right w:val="none" w:sz="0" w:space="0" w:color="auto"/>
          </w:divBdr>
        </w:div>
        <w:div w:id="1971011936">
          <w:marLeft w:val="547"/>
          <w:marRight w:val="0"/>
          <w:marTop w:val="60"/>
          <w:marBottom w:val="0"/>
          <w:divBdr>
            <w:top w:val="none" w:sz="0" w:space="0" w:color="auto"/>
            <w:left w:val="none" w:sz="0" w:space="0" w:color="auto"/>
            <w:bottom w:val="none" w:sz="0" w:space="0" w:color="auto"/>
            <w:right w:val="none" w:sz="0" w:space="0" w:color="auto"/>
          </w:divBdr>
        </w:div>
        <w:div w:id="484393249">
          <w:marLeft w:val="547"/>
          <w:marRight w:val="0"/>
          <w:marTop w:val="60"/>
          <w:marBottom w:val="0"/>
          <w:divBdr>
            <w:top w:val="none" w:sz="0" w:space="0" w:color="auto"/>
            <w:left w:val="none" w:sz="0" w:space="0" w:color="auto"/>
            <w:bottom w:val="none" w:sz="0" w:space="0" w:color="auto"/>
            <w:right w:val="none" w:sz="0" w:space="0" w:color="auto"/>
          </w:divBdr>
        </w:div>
        <w:div w:id="1965111699">
          <w:marLeft w:val="547"/>
          <w:marRight w:val="0"/>
          <w:marTop w:val="60"/>
          <w:marBottom w:val="0"/>
          <w:divBdr>
            <w:top w:val="none" w:sz="0" w:space="0" w:color="auto"/>
            <w:left w:val="none" w:sz="0" w:space="0" w:color="auto"/>
            <w:bottom w:val="none" w:sz="0" w:space="0" w:color="auto"/>
            <w:right w:val="none" w:sz="0" w:space="0" w:color="auto"/>
          </w:divBdr>
        </w:div>
      </w:divsChild>
    </w:div>
    <w:div w:id="1712537902">
      <w:bodyDiv w:val="1"/>
      <w:marLeft w:val="0"/>
      <w:marRight w:val="0"/>
      <w:marTop w:val="0"/>
      <w:marBottom w:val="0"/>
      <w:divBdr>
        <w:top w:val="none" w:sz="0" w:space="0" w:color="auto"/>
        <w:left w:val="none" w:sz="0" w:space="0" w:color="auto"/>
        <w:bottom w:val="none" w:sz="0" w:space="0" w:color="auto"/>
        <w:right w:val="none" w:sz="0" w:space="0" w:color="auto"/>
      </w:divBdr>
    </w:div>
    <w:div w:id="1787771166">
      <w:bodyDiv w:val="1"/>
      <w:marLeft w:val="0"/>
      <w:marRight w:val="0"/>
      <w:marTop w:val="0"/>
      <w:marBottom w:val="0"/>
      <w:divBdr>
        <w:top w:val="none" w:sz="0" w:space="0" w:color="auto"/>
        <w:left w:val="none" w:sz="0" w:space="0" w:color="auto"/>
        <w:bottom w:val="none" w:sz="0" w:space="0" w:color="auto"/>
        <w:right w:val="none" w:sz="0" w:space="0" w:color="auto"/>
      </w:divBdr>
      <w:divsChild>
        <w:div w:id="1250654791">
          <w:marLeft w:val="1123"/>
          <w:marRight w:val="0"/>
          <w:marTop w:val="60"/>
          <w:marBottom w:val="0"/>
          <w:divBdr>
            <w:top w:val="none" w:sz="0" w:space="0" w:color="auto"/>
            <w:left w:val="none" w:sz="0" w:space="0" w:color="auto"/>
            <w:bottom w:val="none" w:sz="0" w:space="0" w:color="auto"/>
            <w:right w:val="none" w:sz="0" w:space="0" w:color="auto"/>
          </w:divBdr>
        </w:div>
        <w:div w:id="380053311">
          <w:marLeft w:val="1699"/>
          <w:marRight w:val="0"/>
          <w:marTop w:val="60"/>
          <w:marBottom w:val="0"/>
          <w:divBdr>
            <w:top w:val="none" w:sz="0" w:space="0" w:color="auto"/>
            <w:left w:val="none" w:sz="0" w:space="0" w:color="auto"/>
            <w:bottom w:val="none" w:sz="0" w:space="0" w:color="auto"/>
            <w:right w:val="none" w:sz="0" w:space="0" w:color="auto"/>
          </w:divBdr>
        </w:div>
        <w:div w:id="1032343589">
          <w:marLeft w:val="1123"/>
          <w:marRight w:val="0"/>
          <w:marTop w:val="60"/>
          <w:marBottom w:val="0"/>
          <w:divBdr>
            <w:top w:val="none" w:sz="0" w:space="0" w:color="auto"/>
            <w:left w:val="none" w:sz="0" w:space="0" w:color="auto"/>
            <w:bottom w:val="none" w:sz="0" w:space="0" w:color="auto"/>
            <w:right w:val="none" w:sz="0" w:space="0" w:color="auto"/>
          </w:divBdr>
        </w:div>
      </w:divsChild>
    </w:div>
    <w:div w:id="2135713269">
      <w:bodyDiv w:val="1"/>
      <w:marLeft w:val="0"/>
      <w:marRight w:val="0"/>
      <w:marTop w:val="0"/>
      <w:marBottom w:val="0"/>
      <w:divBdr>
        <w:top w:val="none" w:sz="0" w:space="0" w:color="auto"/>
        <w:left w:val="none" w:sz="0" w:space="0" w:color="auto"/>
        <w:bottom w:val="none" w:sz="0" w:space="0" w:color="auto"/>
        <w:right w:val="none" w:sz="0" w:space="0" w:color="auto"/>
      </w:divBdr>
      <w:divsChild>
        <w:div w:id="1571889273">
          <w:marLeft w:val="547"/>
          <w:marRight w:val="0"/>
          <w:marTop w:val="60"/>
          <w:marBottom w:val="0"/>
          <w:divBdr>
            <w:top w:val="none" w:sz="0" w:space="0" w:color="auto"/>
            <w:left w:val="none" w:sz="0" w:space="0" w:color="auto"/>
            <w:bottom w:val="none" w:sz="0" w:space="0" w:color="auto"/>
            <w:right w:val="none" w:sz="0" w:space="0" w:color="auto"/>
          </w:divBdr>
        </w:div>
        <w:div w:id="1622609746">
          <w:marLeft w:val="1123"/>
          <w:marRight w:val="0"/>
          <w:marTop w:val="60"/>
          <w:marBottom w:val="0"/>
          <w:divBdr>
            <w:top w:val="none" w:sz="0" w:space="0" w:color="auto"/>
            <w:left w:val="none" w:sz="0" w:space="0" w:color="auto"/>
            <w:bottom w:val="none" w:sz="0" w:space="0" w:color="auto"/>
            <w:right w:val="none" w:sz="0" w:space="0" w:color="auto"/>
          </w:divBdr>
        </w:div>
        <w:div w:id="941495263">
          <w:marLeft w:val="1699"/>
          <w:marRight w:val="0"/>
          <w:marTop w:val="60"/>
          <w:marBottom w:val="0"/>
          <w:divBdr>
            <w:top w:val="none" w:sz="0" w:space="0" w:color="auto"/>
            <w:left w:val="none" w:sz="0" w:space="0" w:color="auto"/>
            <w:bottom w:val="none" w:sz="0" w:space="0" w:color="auto"/>
            <w:right w:val="none" w:sz="0" w:space="0" w:color="auto"/>
          </w:divBdr>
        </w:div>
        <w:div w:id="102917833">
          <w:marLeft w:val="1123"/>
          <w:marRight w:val="0"/>
          <w:marTop w:val="60"/>
          <w:marBottom w:val="0"/>
          <w:divBdr>
            <w:top w:val="none" w:sz="0" w:space="0" w:color="auto"/>
            <w:left w:val="none" w:sz="0" w:space="0" w:color="auto"/>
            <w:bottom w:val="none" w:sz="0" w:space="0" w:color="auto"/>
            <w:right w:val="none" w:sz="0" w:space="0" w:color="auto"/>
          </w:divBdr>
        </w:div>
        <w:div w:id="162429105">
          <w:marLeft w:val="1123"/>
          <w:marRight w:val="0"/>
          <w:marTop w:val="60"/>
          <w:marBottom w:val="0"/>
          <w:divBdr>
            <w:top w:val="none" w:sz="0" w:space="0" w:color="auto"/>
            <w:left w:val="none" w:sz="0" w:space="0" w:color="auto"/>
            <w:bottom w:val="none" w:sz="0" w:space="0" w:color="auto"/>
            <w:right w:val="none" w:sz="0" w:space="0" w:color="auto"/>
          </w:divBdr>
        </w:div>
        <w:div w:id="795490308">
          <w:marLeft w:val="1699"/>
          <w:marRight w:val="0"/>
          <w:marTop w:val="60"/>
          <w:marBottom w:val="0"/>
          <w:divBdr>
            <w:top w:val="none" w:sz="0" w:space="0" w:color="auto"/>
            <w:left w:val="none" w:sz="0" w:space="0" w:color="auto"/>
            <w:bottom w:val="none" w:sz="0" w:space="0" w:color="auto"/>
            <w:right w:val="none" w:sz="0" w:space="0" w:color="auto"/>
          </w:divBdr>
        </w:div>
        <w:div w:id="280570875">
          <w:marLeft w:val="1699"/>
          <w:marRight w:val="0"/>
          <w:marTop w:val="60"/>
          <w:marBottom w:val="0"/>
          <w:divBdr>
            <w:top w:val="none" w:sz="0" w:space="0" w:color="auto"/>
            <w:left w:val="none" w:sz="0" w:space="0" w:color="auto"/>
            <w:bottom w:val="none" w:sz="0" w:space="0" w:color="auto"/>
            <w:right w:val="none" w:sz="0" w:space="0" w:color="auto"/>
          </w:divBdr>
        </w:div>
        <w:div w:id="457992306">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7F437-79A5-4207-B76B-0B2D884E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3495</TotalTime>
  <Pages>10</Pages>
  <Words>3535</Words>
  <Characters>20667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183</cp:revision>
  <cp:lastPrinted>2008-01-31T07:09:00Z</cp:lastPrinted>
  <dcterms:created xsi:type="dcterms:W3CDTF">2018-09-17T07:58:00Z</dcterms:created>
  <dcterms:modified xsi:type="dcterms:W3CDTF">2018-11-02T16:58:00Z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